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57" w:rsidRPr="007138D7" w:rsidRDefault="00445257" w:rsidP="00445257">
      <w:pPr>
        <w:pStyle w:val="Tekstpodstawowy"/>
        <w:spacing w:line="276" w:lineRule="auto"/>
        <w:jc w:val="center"/>
        <w:rPr>
          <w:b/>
          <w:color w:val="000000"/>
          <w:szCs w:val="24"/>
        </w:rPr>
      </w:pPr>
      <w:r w:rsidRPr="007138D7">
        <w:rPr>
          <w:b/>
          <w:color w:val="000000"/>
          <w:szCs w:val="24"/>
        </w:rPr>
        <w:t>UZASADNIENIE</w:t>
      </w:r>
    </w:p>
    <w:p w:rsidR="00445257" w:rsidRPr="007138D7" w:rsidRDefault="00445257" w:rsidP="00445257">
      <w:pPr>
        <w:jc w:val="both"/>
        <w:rPr>
          <w:sz w:val="24"/>
          <w:szCs w:val="24"/>
        </w:rPr>
      </w:pPr>
      <w:r w:rsidRPr="007138D7">
        <w:rPr>
          <w:sz w:val="24"/>
          <w:szCs w:val="24"/>
        </w:rPr>
        <w:t>Niniejsza uchwała Rady Powiatu stanowi formalny początek i podstawę prawną procedury uruchamiania emisji obligacji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</w:t>
      </w:r>
      <w:r>
        <w:rPr>
          <w:sz w:val="24"/>
          <w:szCs w:val="24"/>
        </w:rPr>
        <w:t xml:space="preserve"> Celem planowanej </w:t>
      </w:r>
      <w:r w:rsidRPr="007138D7">
        <w:rPr>
          <w:sz w:val="24"/>
          <w:szCs w:val="24"/>
        </w:rPr>
        <w:t>emisja obligacji jest  :</w:t>
      </w:r>
    </w:p>
    <w:p w:rsidR="00445257" w:rsidRPr="007138D7" w:rsidRDefault="00445257" w:rsidP="004452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138D7">
        <w:rPr>
          <w:sz w:val="24"/>
          <w:szCs w:val="24"/>
        </w:rPr>
        <w:t>spłatę wcześniej zaciągniętych zobowiązań (łącznie w latach 2017-2018 - 12 682 088 zł )</w:t>
      </w:r>
    </w:p>
    <w:p w:rsidR="00445257" w:rsidRPr="007138D7" w:rsidRDefault="00445257" w:rsidP="004452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138D7">
        <w:rPr>
          <w:sz w:val="24"/>
          <w:szCs w:val="24"/>
        </w:rPr>
        <w:t xml:space="preserve">pozyskanie środków pieniężnych na pokrycie deficytu budżetowego wynikającego </w:t>
      </w:r>
      <w:r>
        <w:rPr>
          <w:sz w:val="24"/>
          <w:szCs w:val="24"/>
        </w:rPr>
        <w:br/>
      </w:r>
      <w:r w:rsidRPr="007138D7">
        <w:rPr>
          <w:sz w:val="24"/>
          <w:szCs w:val="24"/>
        </w:rPr>
        <w:t xml:space="preserve">z planowanych do realizacji zadań inwestycyjnych w latach 2017-2018 roku (uchwała </w:t>
      </w:r>
      <w:r>
        <w:rPr>
          <w:sz w:val="24"/>
          <w:szCs w:val="24"/>
        </w:rPr>
        <w:br/>
      </w:r>
      <w:r w:rsidRPr="007138D7">
        <w:rPr>
          <w:sz w:val="24"/>
          <w:szCs w:val="24"/>
        </w:rPr>
        <w:t xml:space="preserve">w s. wieloletniego programu inwestycyjnego na lata 2017-2021 zakłada znaczący wzrost nakładów na powiatowe inwestycje, łącznie z programu emisji obligacji przeznacz się </w:t>
      </w:r>
      <w:r>
        <w:rPr>
          <w:sz w:val="24"/>
          <w:szCs w:val="24"/>
        </w:rPr>
        <w:br/>
      </w:r>
      <w:r w:rsidRPr="007138D7">
        <w:rPr>
          <w:sz w:val="24"/>
          <w:szCs w:val="24"/>
        </w:rPr>
        <w:t xml:space="preserve">66 % środków na inwestycje ). </w:t>
      </w:r>
    </w:p>
    <w:p w:rsidR="00445257" w:rsidRPr="007138D7" w:rsidRDefault="00445257" w:rsidP="00445257">
      <w:pPr>
        <w:jc w:val="both"/>
        <w:rPr>
          <w:sz w:val="24"/>
          <w:szCs w:val="24"/>
        </w:rPr>
      </w:pPr>
      <w:r w:rsidRPr="007138D7">
        <w:rPr>
          <w:sz w:val="24"/>
          <w:szCs w:val="24"/>
        </w:rPr>
        <w:t xml:space="preserve">Zasadniczym atutem obligacji jest ich elastyczność. Instrument ten daje możliwość określenia takich terminów wykupu (spłaty kapitału), które zapewniają bezpieczeństwo w zakresie płynności finansowej budżetu. </w:t>
      </w:r>
    </w:p>
    <w:p w:rsidR="00445257" w:rsidRPr="007138D7" w:rsidRDefault="00445257" w:rsidP="00445257">
      <w:pPr>
        <w:jc w:val="both"/>
        <w:rPr>
          <w:sz w:val="24"/>
          <w:szCs w:val="24"/>
        </w:rPr>
      </w:pPr>
      <w:r w:rsidRPr="007138D7">
        <w:rPr>
          <w:sz w:val="24"/>
          <w:szCs w:val="24"/>
        </w:rPr>
        <w:t xml:space="preserve">Niniejsza uchwała Rady określa ogólne warunki emisji, m. in. wielkość emisji, podział na serie, długość życia poszczególnych obligacji, sposób emisji. Ogólne określenie warunków emisji obligacji jest niezbędne w celu przeprowadzenia postępowania na wybór agenta emisji obligacji, czyli podmiotu, który będzie organizatorem, depozytariuszem i gwarantem emisji. </w:t>
      </w:r>
    </w:p>
    <w:p w:rsidR="00445257" w:rsidRPr="007138D7" w:rsidRDefault="00445257" w:rsidP="00445257">
      <w:pPr>
        <w:jc w:val="both"/>
        <w:rPr>
          <w:sz w:val="24"/>
          <w:szCs w:val="24"/>
        </w:rPr>
      </w:pPr>
      <w:r w:rsidRPr="007138D7">
        <w:rPr>
          <w:sz w:val="24"/>
          <w:szCs w:val="24"/>
        </w:rPr>
        <w:t xml:space="preserve">Uchwała dopuszcza wcześniejszy termin wykupu obligacji , o ile okaże się to korzystne dla Powiatu. Uchwała ta określa przedmiot zamówienia, zakreślając równocześnie granice, </w:t>
      </w:r>
      <w:r>
        <w:rPr>
          <w:sz w:val="24"/>
          <w:szCs w:val="24"/>
        </w:rPr>
        <w:br/>
      </w:r>
      <w:r w:rsidRPr="007138D7">
        <w:rPr>
          <w:sz w:val="24"/>
          <w:szCs w:val="24"/>
        </w:rPr>
        <w:t>w których oferenci mogą przygotowywać swoje oferty.</w:t>
      </w:r>
    </w:p>
    <w:p w:rsidR="00445257" w:rsidRPr="007138D7" w:rsidRDefault="00445257" w:rsidP="00445257">
      <w:pPr>
        <w:pStyle w:val="Tekstpodstawowy"/>
        <w:jc w:val="both"/>
        <w:rPr>
          <w:color w:val="000000"/>
          <w:szCs w:val="24"/>
        </w:rPr>
      </w:pPr>
      <w:r w:rsidRPr="007138D7">
        <w:rPr>
          <w:color w:val="000000"/>
          <w:szCs w:val="24"/>
        </w:rPr>
        <w:t>Indywidualny wskaźnik spłaty długu w okresie emisji i wykupu obligacji został wyliczony na podstawie istniejącej WPF na lata 2017-2027, z założeniem wydłużenia prognozy o 3 lata . Kwota odsetek oraz prowizji bankowej została wyliczona w oparciu o dane historyczne , przyjęto odsetki w wysokości 3,9% (WIBOR 6M + marża dla inwestorów ) .</w:t>
      </w:r>
    </w:p>
    <w:p w:rsidR="00445257" w:rsidRDefault="00445257" w:rsidP="00445257">
      <w:pPr>
        <w:pStyle w:val="Tekstpodstawowy"/>
        <w:jc w:val="both"/>
        <w:rPr>
          <w:color w:val="000000"/>
          <w:szCs w:val="24"/>
        </w:rPr>
      </w:pPr>
      <w:r w:rsidRPr="007138D7">
        <w:rPr>
          <w:color w:val="000000"/>
          <w:szCs w:val="24"/>
        </w:rPr>
        <w:t xml:space="preserve">Poniższy wykres przedstawia graficznie poziom indywidualnego wskaźnika oraz poziom dopuszczalnego wskaźnika wyliczone w oparciu o art. 243 </w:t>
      </w:r>
      <w:proofErr w:type="spellStart"/>
      <w:r w:rsidRPr="007138D7">
        <w:rPr>
          <w:color w:val="000000"/>
          <w:szCs w:val="24"/>
        </w:rPr>
        <w:t>ufp</w:t>
      </w:r>
      <w:proofErr w:type="spellEnd"/>
      <w:r w:rsidRPr="007138D7">
        <w:rPr>
          <w:color w:val="000000"/>
          <w:szCs w:val="24"/>
        </w:rPr>
        <w:t>.</w:t>
      </w:r>
    </w:p>
    <w:p w:rsidR="00445257" w:rsidRPr="007138D7" w:rsidRDefault="00445257" w:rsidP="00445257">
      <w:pPr>
        <w:pStyle w:val="Tekstpodstawowy"/>
        <w:jc w:val="both"/>
        <w:rPr>
          <w:color w:val="000000"/>
          <w:szCs w:val="24"/>
        </w:rPr>
      </w:pPr>
    </w:p>
    <w:p w:rsidR="00445257" w:rsidRPr="007138D7" w:rsidRDefault="00445257" w:rsidP="00445257">
      <w:pPr>
        <w:pStyle w:val="Tekstpodstawowy"/>
        <w:spacing w:line="276" w:lineRule="auto"/>
        <w:jc w:val="both"/>
        <w:rPr>
          <w:color w:val="000000"/>
          <w:szCs w:val="24"/>
        </w:rPr>
        <w:sectPr w:rsidR="00445257" w:rsidRPr="007138D7" w:rsidSect="00856421">
          <w:footerReference w:type="default" r:id="rId6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  <w:bookmarkStart w:id="0" w:name="_GoBack"/>
      <w:r w:rsidRPr="007138D7">
        <w:rPr>
          <w:noProof/>
          <w:color w:val="000000"/>
          <w:szCs w:val="24"/>
        </w:rPr>
        <w:drawing>
          <wp:inline distT="0" distB="0" distL="0" distR="0" wp14:anchorId="2A3EC14F" wp14:editId="448AB2F0">
            <wp:extent cx="6286500" cy="3724275"/>
            <wp:effectExtent l="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C0771D" w:rsidRDefault="00C0771D" w:rsidP="00445257"/>
    <w:sectPr w:rsidR="00C0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68" w:rsidRDefault="00445257" w:rsidP="0054115F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7A0"/>
    <w:multiLevelType w:val="hybridMultilevel"/>
    <w:tmpl w:val="AFEEE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57"/>
    <w:rsid w:val="00445257"/>
    <w:rsid w:val="00C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525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5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5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525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45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wskaźniki w latach 2017-2030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8373831494558879E-2"/>
          <c:y val="1.5984810409337132E-2"/>
          <c:w val="0.91098006366225504"/>
          <c:h val="0.6666836371480962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indywidualny wskaź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Arkusz1!$A$2:$A$15</c:f>
              <c:numCache>
                <c:formatCode>General</c:formatCode>
                <c:ptCount val="1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</c:v>
                </c:pt>
                <c:pt idx="10">
                  <c:v>2027</c:v>
                </c:pt>
                <c:pt idx="11">
                  <c:v>2028</c:v>
                </c:pt>
                <c:pt idx="12">
                  <c:v>2029</c:v>
                </c:pt>
                <c:pt idx="13">
                  <c:v>2030</c:v>
                </c:pt>
              </c:numCache>
            </c:num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5.48</c:v>
                </c:pt>
                <c:pt idx="1">
                  <c:v>6.23</c:v>
                </c:pt>
                <c:pt idx="2">
                  <c:v>6.72</c:v>
                </c:pt>
                <c:pt idx="3">
                  <c:v>7.15</c:v>
                </c:pt>
                <c:pt idx="4">
                  <c:v>7.14</c:v>
                </c:pt>
                <c:pt idx="5">
                  <c:v>5.86</c:v>
                </c:pt>
                <c:pt idx="6">
                  <c:v>5.25</c:v>
                </c:pt>
                <c:pt idx="7">
                  <c:v>4.32</c:v>
                </c:pt>
                <c:pt idx="8">
                  <c:v>3.53</c:v>
                </c:pt>
                <c:pt idx="9">
                  <c:v>3.38</c:v>
                </c:pt>
                <c:pt idx="10">
                  <c:v>3.21</c:v>
                </c:pt>
                <c:pt idx="11">
                  <c:v>2.2599999999999998</c:v>
                </c:pt>
                <c:pt idx="12">
                  <c:v>2.27</c:v>
                </c:pt>
                <c:pt idx="13">
                  <c:v>1.55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dopuszczalny wskaźnik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Arkusz1!$A$2:$A$15</c:f>
              <c:numCache>
                <c:formatCode>General</c:formatCode>
                <c:ptCount val="1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  <c:pt idx="9">
                  <c:v>2026</c:v>
                </c:pt>
                <c:pt idx="10">
                  <c:v>2027</c:v>
                </c:pt>
                <c:pt idx="11">
                  <c:v>2028</c:v>
                </c:pt>
                <c:pt idx="12">
                  <c:v>2029</c:v>
                </c:pt>
                <c:pt idx="13">
                  <c:v>2030</c:v>
                </c:pt>
              </c:numCache>
            </c:numRef>
          </c:cat>
          <c:val>
            <c:numRef>
              <c:f>Arkusz1!$C$2:$C$15</c:f>
              <c:numCache>
                <c:formatCode>General</c:formatCode>
                <c:ptCount val="14"/>
                <c:pt idx="0">
                  <c:v>11.36</c:v>
                </c:pt>
                <c:pt idx="1">
                  <c:v>10.5</c:v>
                </c:pt>
                <c:pt idx="2">
                  <c:v>10.23</c:v>
                </c:pt>
                <c:pt idx="3">
                  <c:v>10.24</c:v>
                </c:pt>
                <c:pt idx="4">
                  <c:v>12.27</c:v>
                </c:pt>
                <c:pt idx="5">
                  <c:v>13.38</c:v>
                </c:pt>
                <c:pt idx="6">
                  <c:v>13.63</c:v>
                </c:pt>
                <c:pt idx="7">
                  <c:v>13.41</c:v>
                </c:pt>
                <c:pt idx="8">
                  <c:v>12.77</c:v>
                </c:pt>
                <c:pt idx="9">
                  <c:v>12.43</c:v>
                </c:pt>
                <c:pt idx="10">
                  <c:v>12.23</c:v>
                </c:pt>
                <c:pt idx="11">
                  <c:v>11.82</c:v>
                </c:pt>
                <c:pt idx="12">
                  <c:v>11.51</c:v>
                </c:pt>
                <c:pt idx="13">
                  <c:v>11.23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717696"/>
        <c:axId val="80719872"/>
      </c:lineChart>
      <c:catAx>
        <c:axId val="8071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0719872"/>
        <c:crosses val="autoZero"/>
        <c:auto val="1"/>
        <c:lblAlgn val="ctr"/>
        <c:lblOffset val="100"/>
        <c:noMultiLvlLbl val="0"/>
      </c:catAx>
      <c:valAx>
        <c:axId val="8071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071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2017-05-29T13:18:00Z</dcterms:created>
  <dcterms:modified xsi:type="dcterms:W3CDTF">2017-05-29T13:19:00Z</dcterms:modified>
</cp:coreProperties>
</file>