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9851F1" w:rsidRDefault="009851F1" w:rsidP="00A541E5">
      <w:pPr>
        <w:pStyle w:val="Zwykytekst"/>
        <w:tabs>
          <w:tab w:val="left" w:pos="708"/>
        </w:tabs>
        <w:jc w:val="center"/>
        <w:outlineLvl w:val="0"/>
        <w:rPr>
          <w:rFonts w:ascii="Times New Roman" w:hAnsi="Times New Roman"/>
          <w:sz w:val="24"/>
          <w:szCs w:val="24"/>
          <w:u w:val="single"/>
        </w:rPr>
      </w:pPr>
      <w:r w:rsidRPr="00842457">
        <w:rPr>
          <w:rFonts w:ascii="Times New Roman" w:hAnsi="Times New Roman"/>
          <w:sz w:val="24"/>
          <w:szCs w:val="24"/>
          <w:u w:val="single"/>
        </w:rPr>
        <w:t>„</w:t>
      </w:r>
      <w:r w:rsidR="0081255D">
        <w:rPr>
          <w:rFonts w:ascii="Times New Roman" w:hAnsi="Times New Roman"/>
          <w:sz w:val="24"/>
          <w:szCs w:val="24"/>
          <w:u w:val="single"/>
        </w:rPr>
        <w:t>Remont pomieszczeń w ZSE w Wołominie</w:t>
      </w:r>
      <w:r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190D27" w:rsidRDefault="003961F5" w:rsidP="00002EF1">
      <w:pPr>
        <w:jc w:val="both"/>
      </w:pPr>
      <w:r w:rsidRPr="00883368">
        <w:t xml:space="preserve">2.    </w:t>
      </w:r>
      <w:r w:rsidR="00B27B90">
        <w:t>Realizacja</w:t>
      </w:r>
      <w:r w:rsidR="00F816BC">
        <w:t xml:space="preserve"> przedmiotu</w:t>
      </w:r>
      <w:r w:rsidR="00B27B90">
        <w:t xml:space="preserve"> zamówienia polega na </w:t>
      </w:r>
      <w:r w:rsidR="00C246FC">
        <w:t>usunięciu ścianki działowej i</w:t>
      </w:r>
      <w:r w:rsidR="00414F7B">
        <w:t xml:space="preserve"> </w:t>
      </w:r>
      <w:r w:rsidR="00C246FC">
        <w:t xml:space="preserve">remoncie powstałego pomieszczenia. </w:t>
      </w:r>
    </w:p>
    <w:p w:rsidR="003961F5" w:rsidRPr="00883368" w:rsidRDefault="003961F5" w:rsidP="00002EF1">
      <w:pPr>
        <w:jc w:val="both"/>
      </w:pPr>
      <w:r w:rsidRPr="00883368">
        <w:t>Przedmiot zamówienia obejmuje następujące roboty budowlane:</w:t>
      </w:r>
    </w:p>
    <w:p w:rsidR="00FA0436" w:rsidRDefault="00EC66AE" w:rsidP="00DB4488">
      <w:pPr>
        <w:pStyle w:val="Akapitzlist"/>
        <w:numPr>
          <w:ilvl w:val="0"/>
          <w:numId w:val="37"/>
        </w:numPr>
        <w:ind w:left="567"/>
        <w:jc w:val="both"/>
      </w:pPr>
      <w:r>
        <w:t xml:space="preserve">WYBURZENIE ŚCIANKI DZIAŁOWEJ: </w:t>
      </w:r>
      <w:r w:rsidR="00011177" w:rsidRPr="00011177">
        <w:t>Zabezpieczenie podłóg deskami. UWAGA: z obu stron rozbieranej ścianki (3-4 m) muszą być ułożone deski lub płyty drewnopodobne w celu zabezpieczenia podłogi. Istniejąca wykładzina typ</w:t>
      </w:r>
      <w:r w:rsidR="00011177">
        <w:t xml:space="preserve">u </w:t>
      </w:r>
      <w:proofErr w:type="spellStart"/>
      <w:r w:rsidR="00011177">
        <w:t>tarkett</w:t>
      </w:r>
      <w:proofErr w:type="spellEnd"/>
      <w:r w:rsidR="00011177">
        <w:t xml:space="preserve"> nie będzie wymieniana </w:t>
      </w:r>
      <w:r w:rsidR="00CC49F3">
        <w:t>– 25,6 m</w:t>
      </w:r>
      <w:r w:rsidR="00CC49F3">
        <w:rPr>
          <w:vertAlign w:val="superscript"/>
        </w:rPr>
        <w:t>2</w:t>
      </w:r>
      <w:r w:rsidR="00CC49F3">
        <w:t>.</w:t>
      </w:r>
    </w:p>
    <w:p w:rsidR="00CC49F3" w:rsidRDefault="00CC49F3" w:rsidP="00DB4488">
      <w:pPr>
        <w:pStyle w:val="Akapitzlist"/>
        <w:numPr>
          <w:ilvl w:val="0"/>
          <w:numId w:val="37"/>
        </w:numPr>
        <w:ind w:left="567"/>
        <w:jc w:val="both"/>
      </w:pPr>
      <w:r>
        <w:t>Rozebranie ścianki działowej z cegieł</w:t>
      </w:r>
      <w:r w:rsidRPr="00CC49F3">
        <w:t>. Uwaga: Rozebrane fragmenty ścianki należy suk</w:t>
      </w:r>
      <w:r w:rsidR="00C56587">
        <w:t>cesywnie usuwać z pomieszczenia – 10,24 m</w:t>
      </w:r>
      <w:r w:rsidR="00C56587">
        <w:rPr>
          <w:vertAlign w:val="superscript"/>
        </w:rPr>
        <w:t>2</w:t>
      </w:r>
      <w:r w:rsidR="00C56587">
        <w:t>.</w:t>
      </w:r>
    </w:p>
    <w:p w:rsidR="00C56587" w:rsidRDefault="00C56587" w:rsidP="00DB4488">
      <w:pPr>
        <w:pStyle w:val="Akapitzlist"/>
        <w:numPr>
          <w:ilvl w:val="0"/>
          <w:numId w:val="37"/>
        </w:numPr>
        <w:ind w:left="567"/>
        <w:jc w:val="both"/>
      </w:pPr>
      <w:r w:rsidRPr="00C56587">
        <w:t>Wykucie z muru ościeżnic</w:t>
      </w:r>
      <w:r>
        <w:t>y stalowej</w:t>
      </w:r>
      <w:r w:rsidRPr="00C56587">
        <w:t xml:space="preserve"> </w:t>
      </w:r>
      <w:r>
        <w:t>wraz z demontażem drzwi – 1 szt.</w:t>
      </w:r>
    </w:p>
    <w:p w:rsidR="00C56587" w:rsidRDefault="00C56587" w:rsidP="00DB4488">
      <w:pPr>
        <w:pStyle w:val="Akapitzlist"/>
        <w:numPr>
          <w:ilvl w:val="0"/>
          <w:numId w:val="37"/>
        </w:numPr>
        <w:ind w:left="567"/>
        <w:jc w:val="both"/>
      </w:pPr>
      <w:r w:rsidRPr="00C56587">
        <w:t>Wywiezienie gruzu i innych pozostałości poremontowyc</w:t>
      </w:r>
      <w:r w:rsidR="00394346">
        <w:t>h samochodami – 2,8 m</w:t>
      </w:r>
      <w:r w:rsidR="00394346">
        <w:rPr>
          <w:vertAlign w:val="superscript"/>
        </w:rPr>
        <w:t>3</w:t>
      </w:r>
      <w:r w:rsidR="00394346">
        <w:t>.</w:t>
      </w:r>
    </w:p>
    <w:p w:rsidR="00394346" w:rsidRDefault="00394346" w:rsidP="00DB4488">
      <w:pPr>
        <w:pStyle w:val="Akapitzlist"/>
        <w:numPr>
          <w:ilvl w:val="0"/>
          <w:numId w:val="37"/>
        </w:numPr>
        <w:ind w:left="567"/>
        <w:jc w:val="both"/>
      </w:pPr>
      <w:r w:rsidRPr="00394346">
        <w:t>Wykonanie pasów tynku zwykłego o szerokości do 30 cm (pas po wyburzonej ściance)</w:t>
      </w:r>
      <w:r w:rsidR="002711EF">
        <w:t xml:space="preserve"> </w:t>
      </w:r>
      <w:r>
        <w:t>– 9,6 m.</w:t>
      </w:r>
    </w:p>
    <w:p w:rsidR="00EC66AE" w:rsidRDefault="009C3487" w:rsidP="00DB4488">
      <w:pPr>
        <w:pStyle w:val="Akapitzlist"/>
        <w:numPr>
          <w:ilvl w:val="0"/>
          <w:numId w:val="37"/>
        </w:numPr>
        <w:ind w:left="567"/>
        <w:jc w:val="both"/>
      </w:pPr>
      <w:r>
        <w:t>REMONT</w:t>
      </w:r>
      <w:r w:rsidR="00EC66AE">
        <w:t xml:space="preserve">: </w:t>
      </w:r>
      <w:r w:rsidR="00EC66AE" w:rsidRPr="00EC66AE">
        <w:t>Zabezpieczenie podłóg folią</w:t>
      </w:r>
      <w:r w:rsidR="00EC66AE">
        <w:t xml:space="preserve"> – 35 m</w:t>
      </w:r>
      <w:r w:rsidR="00EC66AE">
        <w:rPr>
          <w:vertAlign w:val="superscript"/>
        </w:rPr>
        <w:t>2</w:t>
      </w:r>
      <w:r w:rsidR="00EC66AE">
        <w:t>.</w:t>
      </w:r>
    </w:p>
    <w:p w:rsidR="00EC66AE" w:rsidRDefault="00EC66AE" w:rsidP="00DB4488">
      <w:pPr>
        <w:pStyle w:val="Akapitzlist"/>
        <w:numPr>
          <w:ilvl w:val="0"/>
          <w:numId w:val="37"/>
        </w:numPr>
        <w:ind w:left="567"/>
        <w:jc w:val="both"/>
      </w:pPr>
      <w:r w:rsidRPr="00EC66AE">
        <w:t>Zabezpieczenie okien i drzwi folią malarską</w:t>
      </w:r>
      <w:r>
        <w:t xml:space="preserve"> </w:t>
      </w:r>
      <w:r w:rsidR="00FC3F22">
        <w:t>–</w:t>
      </w:r>
      <w:r>
        <w:t xml:space="preserve"> </w:t>
      </w:r>
      <w:r w:rsidR="00FC3F22">
        <w:t>14 m</w:t>
      </w:r>
      <w:r w:rsidR="00FC3F22">
        <w:rPr>
          <w:vertAlign w:val="superscript"/>
        </w:rPr>
        <w:t>2</w:t>
      </w:r>
      <w:r w:rsidR="00FC3F22">
        <w:t>.</w:t>
      </w:r>
    </w:p>
    <w:p w:rsidR="00FC3F22" w:rsidRDefault="00FC3F22" w:rsidP="00DB4488">
      <w:pPr>
        <w:pStyle w:val="Akapitzlist"/>
        <w:numPr>
          <w:ilvl w:val="0"/>
          <w:numId w:val="37"/>
        </w:numPr>
        <w:ind w:left="567"/>
        <w:jc w:val="both"/>
      </w:pPr>
      <w:r w:rsidRPr="00FC3F22">
        <w:t xml:space="preserve">Zeskrobanie i zmycie starej farby w pomieszczeniach </w:t>
      </w:r>
      <w:r>
        <w:t>– 129,0 m</w:t>
      </w:r>
      <w:r>
        <w:rPr>
          <w:vertAlign w:val="superscript"/>
        </w:rPr>
        <w:t>2</w:t>
      </w:r>
      <w:r>
        <w:t>.</w:t>
      </w:r>
    </w:p>
    <w:p w:rsidR="00B95D97" w:rsidRDefault="00B95D97" w:rsidP="00DB4488">
      <w:pPr>
        <w:pStyle w:val="Akapitzlist"/>
        <w:numPr>
          <w:ilvl w:val="0"/>
          <w:numId w:val="37"/>
        </w:numPr>
        <w:ind w:left="567"/>
        <w:jc w:val="both"/>
      </w:pPr>
      <w:r w:rsidRPr="00B95D97">
        <w:t xml:space="preserve">Przygotowanie powierzchni pod malowanie farbami emulsyjnymi starych tynków z </w:t>
      </w:r>
      <w:proofErr w:type="spellStart"/>
      <w:r w:rsidRPr="00B95D97">
        <w:t>poszpachlowaniem</w:t>
      </w:r>
      <w:proofErr w:type="spellEnd"/>
      <w:r w:rsidRPr="00B95D97">
        <w:t xml:space="preserve"> nierówności - ściany i sufit</w:t>
      </w:r>
      <w:r>
        <w:t xml:space="preserve"> - 129,0 m</w:t>
      </w:r>
      <w:r>
        <w:rPr>
          <w:vertAlign w:val="superscript"/>
        </w:rPr>
        <w:t>2</w:t>
      </w:r>
      <w:r>
        <w:t>.</w:t>
      </w:r>
    </w:p>
    <w:p w:rsidR="00B95D97" w:rsidRDefault="00B95D97" w:rsidP="00DB4488">
      <w:pPr>
        <w:pStyle w:val="Akapitzlist"/>
        <w:numPr>
          <w:ilvl w:val="0"/>
          <w:numId w:val="37"/>
        </w:numPr>
        <w:ind w:left="567"/>
        <w:jc w:val="both"/>
      </w:pPr>
      <w:r w:rsidRPr="00B95D97">
        <w:t>Wewnętrzne gładzie gipsowe dwuwarstwowe na ścianach</w:t>
      </w:r>
      <w:r>
        <w:t xml:space="preserve"> – 92,8 m</w:t>
      </w:r>
      <w:r>
        <w:rPr>
          <w:vertAlign w:val="superscript"/>
        </w:rPr>
        <w:t>2</w:t>
      </w:r>
      <w:r>
        <w:t>.</w:t>
      </w:r>
    </w:p>
    <w:p w:rsidR="00B95D97" w:rsidRDefault="00B95D97" w:rsidP="00DB4488">
      <w:pPr>
        <w:pStyle w:val="Akapitzlist"/>
        <w:numPr>
          <w:ilvl w:val="0"/>
          <w:numId w:val="37"/>
        </w:numPr>
        <w:ind w:left="567"/>
        <w:jc w:val="both"/>
      </w:pPr>
      <w:r w:rsidRPr="00B95D97">
        <w:t>Wewnętrzne gładzie gipsowe dwuwarstwowe na sufitach</w:t>
      </w:r>
      <w:r>
        <w:t xml:space="preserve"> – 36,16 m</w:t>
      </w:r>
      <w:r>
        <w:rPr>
          <w:vertAlign w:val="superscript"/>
        </w:rPr>
        <w:t>2</w:t>
      </w:r>
      <w:r>
        <w:t>.</w:t>
      </w:r>
    </w:p>
    <w:p w:rsidR="00B95D97" w:rsidRDefault="00B95D97" w:rsidP="00DB4488">
      <w:pPr>
        <w:pStyle w:val="Akapitzlist"/>
        <w:numPr>
          <w:ilvl w:val="0"/>
          <w:numId w:val="37"/>
        </w:numPr>
        <w:ind w:left="567"/>
        <w:jc w:val="both"/>
      </w:pPr>
      <w:r w:rsidRPr="00B95D97">
        <w:t>Gruntowanie podłoży preparatami - powierzchnie pionowe</w:t>
      </w:r>
      <w:r>
        <w:t xml:space="preserve"> – 92,8 m</w:t>
      </w:r>
      <w:r>
        <w:rPr>
          <w:vertAlign w:val="superscript"/>
        </w:rPr>
        <w:t>2</w:t>
      </w:r>
      <w:r>
        <w:t>.</w:t>
      </w:r>
    </w:p>
    <w:p w:rsidR="00B95D97" w:rsidRDefault="00B95D97" w:rsidP="00DB4488">
      <w:pPr>
        <w:pStyle w:val="Akapitzlist"/>
        <w:numPr>
          <w:ilvl w:val="0"/>
          <w:numId w:val="37"/>
        </w:numPr>
        <w:ind w:left="567"/>
        <w:jc w:val="both"/>
      </w:pPr>
      <w:r w:rsidRPr="00B95D97">
        <w:t>Gruntowanie podłoży preparatami - powierzchnie poziome</w:t>
      </w:r>
      <w:r>
        <w:t xml:space="preserve"> – 36,16 m</w:t>
      </w:r>
      <w:r>
        <w:rPr>
          <w:vertAlign w:val="superscript"/>
        </w:rPr>
        <w:t>2</w:t>
      </w:r>
      <w:r>
        <w:t>.</w:t>
      </w:r>
    </w:p>
    <w:p w:rsidR="00B95D97" w:rsidRDefault="00B95D97" w:rsidP="00EB72FF">
      <w:pPr>
        <w:pStyle w:val="Akapitzlist"/>
        <w:numPr>
          <w:ilvl w:val="0"/>
          <w:numId w:val="37"/>
        </w:numPr>
        <w:ind w:left="567"/>
        <w:jc w:val="both"/>
      </w:pPr>
      <w:r w:rsidRPr="00B95D97">
        <w:t>Dwukrotne malowanie farbami emulsyjnymi starych tynków wewnętrznych ścian</w:t>
      </w:r>
      <w:r>
        <w:t xml:space="preserve"> – 49,3 m</w:t>
      </w:r>
      <w:r w:rsidRPr="006060DD">
        <w:rPr>
          <w:vertAlign w:val="superscript"/>
        </w:rPr>
        <w:t>2</w:t>
      </w:r>
      <w:r>
        <w:t>.</w:t>
      </w:r>
      <w:r w:rsidR="00EB72FF">
        <w:t xml:space="preserve"> Kolor do uzgodnienia z Zamawiającym.</w:t>
      </w:r>
    </w:p>
    <w:p w:rsidR="001D05C1" w:rsidRDefault="00B95D97" w:rsidP="001D05C1">
      <w:pPr>
        <w:pStyle w:val="Akapitzlist"/>
        <w:numPr>
          <w:ilvl w:val="0"/>
          <w:numId w:val="37"/>
        </w:numPr>
        <w:ind w:left="567"/>
        <w:jc w:val="both"/>
      </w:pPr>
      <w:r w:rsidRPr="00B95D97">
        <w:t>Dwukrotne malowanie farbami emulsyjnymi starych tynków wewnętrznych sufitów</w:t>
      </w:r>
      <w:r w:rsidR="008E60B9">
        <w:t xml:space="preserve"> – 36,16 m</w:t>
      </w:r>
      <w:r w:rsidR="008E60B9">
        <w:rPr>
          <w:vertAlign w:val="superscript"/>
        </w:rPr>
        <w:t>2</w:t>
      </w:r>
      <w:r w:rsidR="008E60B9">
        <w:t>.</w:t>
      </w:r>
      <w:r w:rsidR="00EB72FF">
        <w:t xml:space="preserve"> </w:t>
      </w:r>
      <w:r w:rsidR="001D05C1">
        <w:t>Kolor do uzgodnienia z Zamawiającym.</w:t>
      </w:r>
    </w:p>
    <w:p w:rsidR="008E60B9" w:rsidRDefault="008E60B9" w:rsidP="001D05C1">
      <w:pPr>
        <w:pStyle w:val="Akapitzlist"/>
        <w:numPr>
          <w:ilvl w:val="0"/>
          <w:numId w:val="37"/>
        </w:numPr>
        <w:ind w:left="567"/>
        <w:jc w:val="both"/>
      </w:pPr>
      <w:r w:rsidRPr="008E60B9">
        <w:t>Dwukrotne malowanie farbami olejnymi starych tynków wewnętrznych ścian</w:t>
      </w:r>
      <w:r>
        <w:t xml:space="preserve"> – 43,5 m</w:t>
      </w:r>
      <w:r>
        <w:rPr>
          <w:vertAlign w:val="superscript"/>
        </w:rPr>
        <w:t>2</w:t>
      </w:r>
      <w:r>
        <w:t>.</w:t>
      </w:r>
      <w:r w:rsidR="001D05C1">
        <w:t xml:space="preserve"> Kolor do uzgodnienia z Zamawiającym.</w:t>
      </w:r>
    </w:p>
    <w:p w:rsidR="008E60B9" w:rsidRDefault="008E60B9" w:rsidP="00DB4488">
      <w:pPr>
        <w:pStyle w:val="Akapitzlist"/>
        <w:numPr>
          <w:ilvl w:val="0"/>
          <w:numId w:val="37"/>
        </w:numPr>
        <w:ind w:left="567"/>
        <w:jc w:val="both"/>
      </w:pPr>
      <w:r w:rsidRPr="008E60B9">
        <w:t>Demontaż odbojnic ściennych</w:t>
      </w:r>
      <w:r>
        <w:t xml:space="preserve"> – 1 szt.</w:t>
      </w:r>
    </w:p>
    <w:p w:rsidR="008E60B9" w:rsidRDefault="008E60B9" w:rsidP="00DB4488">
      <w:pPr>
        <w:pStyle w:val="Akapitzlist"/>
        <w:numPr>
          <w:ilvl w:val="0"/>
          <w:numId w:val="37"/>
        </w:numPr>
        <w:ind w:left="567"/>
        <w:jc w:val="both"/>
      </w:pPr>
      <w:r w:rsidRPr="008E60B9">
        <w:t>Mycie i czyszczenie po robotach malarskich oki</w:t>
      </w:r>
      <w:r w:rsidR="00E202E9">
        <w:t>en zespolonych, drzwi i podłogi – 50,0 m</w:t>
      </w:r>
      <w:r w:rsidR="00E202E9">
        <w:rPr>
          <w:vertAlign w:val="superscript"/>
        </w:rPr>
        <w:t>2</w:t>
      </w:r>
      <w:r w:rsidR="00E202E9">
        <w:t xml:space="preserve">.   </w:t>
      </w:r>
    </w:p>
    <w:p w:rsidR="00FF60EB" w:rsidRDefault="00E43843" w:rsidP="006060DD">
      <w:pPr>
        <w:pStyle w:val="Akapitzlist"/>
        <w:numPr>
          <w:ilvl w:val="0"/>
          <w:numId w:val="37"/>
        </w:numPr>
        <w:ind w:left="567"/>
        <w:jc w:val="both"/>
      </w:pPr>
      <w:r w:rsidRPr="00E43843">
        <w:t>Oprawy oświetleniowe przykręcane (zwykłe) - świetlówkowa - typ i rodzaj taki sami</w:t>
      </w:r>
      <w:r>
        <w:t xml:space="preserve"> jak istniejące w pomieszczeniu – 2 </w:t>
      </w:r>
      <w:proofErr w:type="spellStart"/>
      <w:r>
        <w:t>kpl</w:t>
      </w:r>
      <w:proofErr w:type="spellEnd"/>
      <w:r>
        <w:t>.</w:t>
      </w:r>
    </w:p>
    <w:p w:rsidR="00575823" w:rsidRDefault="00575823" w:rsidP="006060DD">
      <w:pPr>
        <w:pStyle w:val="Akapitzlist"/>
        <w:numPr>
          <w:ilvl w:val="0"/>
          <w:numId w:val="37"/>
        </w:numPr>
        <w:ind w:left="567"/>
        <w:jc w:val="both"/>
      </w:pPr>
      <w:r w:rsidRPr="00575823">
        <w:t xml:space="preserve">Zerwanie wykładziny dywanowej wraz z cokolikami. Uwaga: istniejąca wykładzina PVC w pomieszczeniu ma </w:t>
      </w:r>
      <w:r>
        <w:t>pozostać w stanie nienaruszonym – 22,4 m</w:t>
      </w:r>
      <w:r>
        <w:rPr>
          <w:vertAlign w:val="superscript"/>
        </w:rPr>
        <w:t>2</w:t>
      </w:r>
      <w:r>
        <w:t>.</w:t>
      </w:r>
    </w:p>
    <w:p w:rsidR="00575823" w:rsidRDefault="00575823" w:rsidP="006060DD">
      <w:pPr>
        <w:pStyle w:val="Akapitzlist"/>
        <w:numPr>
          <w:ilvl w:val="0"/>
          <w:numId w:val="37"/>
        </w:numPr>
        <w:ind w:left="567"/>
        <w:jc w:val="both"/>
      </w:pPr>
      <w:r w:rsidRPr="00575823">
        <w:lastRenderedPageBreak/>
        <w:t xml:space="preserve">Naprawa posadzki cementowej z zatarciem na gładko o powierzchni do 0.25 </w:t>
      </w:r>
      <w:r w:rsidR="005A44F7">
        <w:t>m</w:t>
      </w:r>
      <w:r w:rsidR="005A44F7">
        <w:rPr>
          <w:vertAlign w:val="superscript"/>
        </w:rPr>
        <w:t>2</w:t>
      </w:r>
      <w:r>
        <w:t>, do 0,50</w:t>
      </w:r>
      <w:r w:rsidR="005A44F7" w:rsidRPr="005A44F7">
        <w:t xml:space="preserve"> </w:t>
      </w:r>
      <w:r w:rsidR="005A44F7">
        <w:t>m</w:t>
      </w:r>
      <w:r w:rsidR="005A44F7">
        <w:rPr>
          <w:vertAlign w:val="superscript"/>
        </w:rPr>
        <w:t>2</w:t>
      </w:r>
      <w:r>
        <w:t xml:space="preserve">, do 1,0 </w:t>
      </w:r>
      <w:r w:rsidR="005A44F7">
        <w:t>m</w:t>
      </w:r>
      <w:r w:rsidR="005A44F7">
        <w:rPr>
          <w:vertAlign w:val="superscript"/>
        </w:rPr>
        <w:t>2</w:t>
      </w:r>
      <w:r w:rsidRPr="00575823">
        <w:t xml:space="preserve"> w jednym miejscu</w:t>
      </w:r>
      <w:r>
        <w:t xml:space="preserve"> – 10+10+5</w:t>
      </w:r>
      <w:r w:rsidR="005A44F7">
        <w:t xml:space="preserve"> m</w:t>
      </w:r>
      <w:r w:rsidR="005A44F7">
        <w:rPr>
          <w:vertAlign w:val="superscript"/>
        </w:rPr>
        <w:t>2</w:t>
      </w:r>
      <w:r w:rsidR="005A44F7">
        <w:t>.</w:t>
      </w:r>
    </w:p>
    <w:p w:rsidR="005A44F7" w:rsidRDefault="005A44F7" w:rsidP="006060DD">
      <w:pPr>
        <w:pStyle w:val="Akapitzlist"/>
        <w:numPr>
          <w:ilvl w:val="0"/>
          <w:numId w:val="37"/>
        </w:numPr>
        <w:ind w:left="567"/>
        <w:jc w:val="both"/>
      </w:pPr>
      <w:r w:rsidRPr="005A44F7">
        <w:t xml:space="preserve">Warstwy wyrównujące i wygładzające z zaprawy samopoziomującej grubości 5 mm </w:t>
      </w:r>
      <w:r>
        <w:t>– 22,4 m</w:t>
      </w:r>
      <w:r>
        <w:rPr>
          <w:vertAlign w:val="superscript"/>
        </w:rPr>
        <w:t>2</w:t>
      </w:r>
      <w:r>
        <w:t>.</w:t>
      </w:r>
    </w:p>
    <w:p w:rsidR="005A44F7" w:rsidRDefault="00851BEF" w:rsidP="00851BEF">
      <w:pPr>
        <w:pStyle w:val="Akapitzlist"/>
        <w:numPr>
          <w:ilvl w:val="0"/>
          <w:numId w:val="37"/>
        </w:numPr>
        <w:ind w:left="567"/>
        <w:jc w:val="both"/>
      </w:pPr>
      <w:r>
        <w:t xml:space="preserve">Przygotowanie podłoża: </w:t>
      </w:r>
      <w:r w:rsidR="005A44F7">
        <w:t>Oczyszczenie, odpylenie i odkurzenie podłoża</w:t>
      </w:r>
      <w:r>
        <w:t xml:space="preserve">; </w:t>
      </w:r>
      <w:r w:rsidR="005A44F7">
        <w:t>Szlifowanie podłoża</w:t>
      </w:r>
      <w:r>
        <w:t xml:space="preserve">; </w:t>
      </w:r>
      <w:r w:rsidR="005A44F7">
        <w:t>Odtłuszczenie podłoża</w:t>
      </w:r>
      <w:r>
        <w:t xml:space="preserve">; </w:t>
      </w:r>
      <w:r w:rsidR="005A44F7">
        <w:t>Jednokrotne gruntowanie podłoża</w:t>
      </w:r>
      <w:r>
        <w:t xml:space="preserve"> - 22,4 m</w:t>
      </w:r>
      <w:r>
        <w:rPr>
          <w:vertAlign w:val="superscript"/>
        </w:rPr>
        <w:t>2</w:t>
      </w:r>
      <w:r>
        <w:t>.</w:t>
      </w:r>
    </w:p>
    <w:p w:rsidR="00EA6F6C" w:rsidRDefault="00EA6F6C" w:rsidP="00EA6F6C">
      <w:pPr>
        <w:pStyle w:val="Akapitzlist"/>
        <w:numPr>
          <w:ilvl w:val="0"/>
          <w:numId w:val="37"/>
        </w:numPr>
        <w:ind w:left="567"/>
        <w:jc w:val="both"/>
      </w:pPr>
      <w:r>
        <w:t xml:space="preserve">Posadzki z wykładzin z tworzyw sztucznych z warstwą izolacyjną rulonowe wraz z cokolikami o wys. 0,1 m.   Dane techniczne wykładziny: </w:t>
      </w:r>
    </w:p>
    <w:p w:rsidR="00EA6F6C" w:rsidRDefault="00EA6F6C" w:rsidP="00EA6F6C">
      <w:pPr>
        <w:pStyle w:val="Akapitzlist"/>
        <w:ind w:left="567"/>
        <w:jc w:val="both"/>
      </w:pPr>
      <w:r>
        <w:t>a) Typ wykładziny - homogeniczna podłogowa winylowa;</w:t>
      </w:r>
    </w:p>
    <w:p w:rsidR="00EA6F6C" w:rsidRDefault="00EA6F6C" w:rsidP="00EA6F6C">
      <w:pPr>
        <w:pStyle w:val="Akapitzlist"/>
        <w:ind w:left="567"/>
        <w:jc w:val="both"/>
      </w:pPr>
      <w:r>
        <w:t>b) Klasa użytkowa - 34/43;</w:t>
      </w:r>
    </w:p>
    <w:p w:rsidR="00EA6F6C" w:rsidRDefault="00EA6F6C" w:rsidP="00EA6F6C">
      <w:pPr>
        <w:pStyle w:val="Akapitzlist"/>
        <w:ind w:left="567"/>
        <w:jc w:val="both"/>
      </w:pPr>
      <w:r>
        <w:t>c) Grubość całkowita i grubość warstwy użytkowej - 2,00 mm;</w:t>
      </w:r>
    </w:p>
    <w:p w:rsidR="00EA6F6C" w:rsidRDefault="00EA6F6C" w:rsidP="00EA6F6C">
      <w:pPr>
        <w:pStyle w:val="Akapitzlist"/>
        <w:ind w:left="567"/>
        <w:jc w:val="both"/>
      </w:pPr>
      <w:r>
        <w:t>d) Grupa ścieralności - T &lt; 2 mm3;</w:t>
      </w:r>
    </w:p>
    <w:p w:rsidR="00EA6F6C" w:rsidRDefault="00EA6F6C" w:rsidP="00EA6F6C">
      <w:pPr>
        <w:pStyle w:val="Akapitzlist"/>
        <w:ind w:left="567"/>
        <w:jc w:val="both"/>
      </w:pPr>
      <w:r>
        <w:t xml:space="preserve">e) Klasa reakcji na ogień - Bfl-s1, trudno zapalne (wg PN-EN 13501-1:2008);  </w:t>
      </w:r>
    </w:p>
    <w:p w:rsidR="00EA6F6C" w:rsidRDefault="00EA6F6C" w:rsidP="00EA6F6C">
      <w:pPr>
        <w:pStyle w:val="Akapitzlist"/>
        <w:ind w:left="567"/>
        <w:jc w:val="both"/>
      </w:pPr>
      <w:r>
        <w:t>f) Antypoślizgowość - R9 (wg DIN 51130),  &gt; 0,3 (wg EN 13893);</w:t>
      </w:r>
    </w:p>
    <w:p w:rsidR="00851BEF" w:rsidRDefault="00EA6F6C" w:rsidP="00EA6F6C">
      <w:pPr>
        <w:pStyle w:val="Akapitzlist"/>
        <w:ind w:left="567"/>
        <w:jc w:val="both"/>
      </w:pPr>
      <w:r>
        <w:t>g) Oddziaływanie kółek krzeseł - brak uszkodzeń wg ISO 4918 (EN 425).</w:t>
      </w:r>
    </w:p>
    <w:p w:rsidR="0092693F" w:rsidRDefault="0092693F" w:rsidP="00EA6F6C">
      <w:pPr>
        <w:pStyle w:val="Akapitzlist"/>
        <w:ind w:left="567"/>
        <w:jc w:val="both"/>
      </w:pPr>
      <w:r>
        <w:t>h) Kolor taki sam jak istniejącej w tym pomieszczeniu wykładziny.</w:t>
      </w:r>
    </w:p>
    <w:p w:rsidR="00EA6F6C" w:rsidRDefault="0092693F" w:rsidP="0092693F">
      <w:pPr>
        <w:pStyle w:val="Akapitzlist"/>
        <w:ind w:left="284"/>
        <w:jc w:val="both"/>
      </w:pPr>
      <w:r>
        <w:t>25) Z</w:t>
      </w:r>
      <w:r w:rsidRPr="0092693F">
        <w:t xml:space="preserve">grzewanie wykładzin rulonowych </w:t>
      </w:r>
      <w:r>
        <w:t>- 22,4 m</w:t>
      </w:r>
      <w:r>
        <w:rPr>
          <w:vertAlign w:val="superscript"/>
        </w:rPr>
        <w:t>2</w:t>
      </w:r>
      <w:r>
        <w:t>.</w:t>
      </w:r>
    </w:p>
    <w:p w:rsidR="006060DD" w:rsidRPr="006060DD" w:rsidRDefault="006060DD" w:rsidP="006060DD">
      <w:pPr>
        <w:pStyle w:val="Akapitzlist"/>
        <w:ind w:left="567"/>
        <w:jc w:val="both"/>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790DDF" w:rsidRPr="00883368" w:rsidRDefault="0033184D" w:rsidP="00CA431E">
      <w:pPr>
        <w:pStyle w:val="Zwykytekst1"/>
        <w:spacing w:line="276" w:lineRule="auto"/>
        <w:rPr>
          <w:rFonts w:ascii="Times New Roman" w:hAnsi="Times New Roman"/>
          <w:w w:val="101"/>
          <w:sz w:val="24"/>
          <w:szCs w:val="24"/>
        </w:rPr>
      </w:pPr>
      <w:r w:rsidRPr="00883368">
        <w:rPr>
          <w:rFonts w:ascii="Times New Roman" w:hAnsi="Times New Roman"/>
          <w:sz w:val="24"/>
          <w:szCs w:val="24"/>
        </w:rPr>
        <w:tab/>
      </w:r>
      <w:r w:rsidR="00790DDF" w:rsidRPr="00883368">
        <w:rPr>
          <w:rFonts w:ascii="Times New Roman" w:hAnsi="Times New Roman"/>
          <w:sz w:val="24"/>
          <w:szCs w:val="24"/>
        </w:rPr>
        <w:t xml:space="preserve">Termin realizacji zamówienia: </w:t>
      </w:r>
      <w:r w:rsidR="00E17683">
        <w:rPr>
          <w:rFonts w:ascii="Times New Roman" w:hAnsi="Times New Roman"/>
          <w:sz w:val="24"/>
          <w:szCs w:val="24"/>
        </w:rPr>
        <w:t xml:space="preserve">od dnia </w:t>
      </w:r>
      <w:r w:rsidR="00DB4488">
        <w:rPr>
          <w:rFonts w:ascii="Times New Roman" w:hAnsi="Times New Roman"/>
          <w:sz w:val="24"/>
          <w:szCs w:val="24"/>
        </w:rPr>
        <w:t xml:space="preserve">22 maja </w:t>
      </w:r>
      <w:r w:rsidR="00E17683">
        <w:rPr>
          <w:rFonts w:ascii="Times New Roman" w:hAnsi="Times New Roman"/>
          <w:sz w:val="24"/>
          <w:szCs w:val="24"/>
        </w:rPr>
        <w:t xml:space="preserve">2017 r do dnia </w:t>
      </w:r>
      <w:bookmarkStart w:id="0" w:name="_GoBack"/>
      <w:bookmarkEnd w:id="0"/>
      <w:r w:rsidR="00DB4488">
        <w:rPr>
          <w:rFonts w:ascii="Times New Roman" w:hAnsi="Times New Roman"/>
          <w:sz w:val="24"/>
          <w:szCs w:val="24"/>
        </w:rPr>
        <w:t>02 czerwca 2017 roku.</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lastRenderedPageBreak/>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lastRenderedPageBreak/>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8604DC">
          <w:rPr>
            <w:rStyle w:val="Hipercze"/>
            <w:color w:val="000000" w:themeColor="text1"/>
          </w:rPr>
          <w:t>wid@powiat-wolominski.pl</w:t>
        </w:r>
      </w:hyperlink>
      <w:r w:rsidR="00997F27" w:rsidRPr="008604DC">
        <w:t>.</w:t>
      </w:r>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0C1A18"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w:t>
      </w:r>
    </w:p>
    <w:p w:rsidR="009D748D" w:rsidRPr="0092102B" w:rsidRDefault="009D748D" w:rsidP="009D748D">
      <w:pPr>
        <w:pStyle w:val="Akapitzlist"/>
        <w:shd w:val="clear" w:color="auto" w:fill="FFFFFF"/>
        <w:tabs>
          <w:tab w:val="left" w:pos="394"/>
        </w:tabs>
        <w:suppressAutoHyphens/>
        <w:ind w:left="426"/>
        <w:jc w:val="both"/>
        <w:rPr>
          <w:u w:val="single"/>
        </w:rPr>
      </w:pPr>
      <w:r w:rsidRPr="0092102B">
        <w:rPr>
          <w:u w:val="single"/>
        </w:rPr>
        <w:t xml:space="preserve">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CA456E">
        <w:t>2</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CA456E">
        <w:t>2</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 zapłaty – w wysokości 1000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CD5F57">
        <w:rPr>
          <w:u w:val="single"/>
        </w:rPr>
        <w:t>24 miesią</w:t>
      </w:r>
      <w:r w:rsidR="00655485" w:rsidRPr="007B294C">
        <w:rPr>
          <w:u w:val="single"/>
        </w:rPr>
        <w:t>c</w:t>
      </w:r>
      <w:r w:rsidR="00CD5F57">
        <w:rPr>
          <w:u w:val="single"/>
        </w:rPr>
        <w:t>e</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D5F57"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CD5F57" w:rsidRPr="00C94C86" w:rsidRDefault="00CD5F57" w:rsidP="00CD5F57">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A541E5" w:rsidP="00165410">
      <w:pPr>
        <w:tabs>
          <w:tab w:val="left" w:pos="284"/>
        </w:tabs>
        <w:ind w:left="284"/>
        <w:jc w:val="both"/>
      </w:pPr>
      <w:r w:rsidRPr="00883368">
        <w:t xml:space="preserve">Umowę sporządzono w </w:t>
      </w:r>
      <w:r w:rsidR="00817ED8">
        <w:t>czterech</w:t>
      </w:r>
      <w:r w:rsidRPr="00883368">
        <w:t xml:space="preserve"> jednobrzmiących egzemplarzach, w tym </w:t>
      </w:r>
      <w:r w:rsidR="00817ED8">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Pr="00883368" w:rsidRDefault="00817ED8"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8"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0"/>
  </w:num>
  <w:num w:numId="14">
    <w:abstractNumId w:val="16"/>
  </w:num>
  <w:num w:numId="15">
    <w:abstractNumId w:val="31"/>
  </w:num>
  <w:num w:numId="16">
    <w:abstractNumId w:val="5"/>
  </w:num>
  <w:num w:numId="17">
    <w:abstractNumId w:val="17"/>
  </w:num>
  <w:num w:numId="18">
    <w:abstractNumId w:val="18"/>
  </w:num>
  <w:num w:numId="19">
    <w:abstractNumId w:val="8"/>
  </w:num>
  <w:num w:numId="20">
    <w:abstractNumId w:val="20"/>
  </w:num>
  <w:num w:numId="21">
    <w:abstractNumId w:val="7"/>
  </w:num>
  <w:num w:numId="22">
    <w:abstractNumId w:val="2"/>
  </w:num>
  <w:num w:numId="23">
    <w:abstractNumId w:val="1"/>
  </w:num>
  <w:num w:numId="24">
    <w:abstractNumId w:val="24"/>
  </w:num>
  <w:num w:numId="25">
    <w:abstractNumId w:val="4"/>
  </w:num>
  <w:num w:numId="26">
    <w:abstractNumId w:val="21"/>
  </w:num>
  <w:num w:numId="27">
    <w:abstractNumId w:val="14"/>
  </w:num>
  <w:num w:numId="28">
    <w:abstractNumId w:val="12"/>
  </w:num>
  <w:num w:numId="29">
    <w:abstractNumId w:val="15"/>
  </w:num>
  <w:num w:numId="30">
    <w:abstractNumId w:val="13"/>
  </w:num>
  <w:num w:numId="31">
    <w:abstractNumId w:val="6"/>
  </w:num>
  <w:num w:numId="32">
    <w:abstractNumId w:val="28"/>
  </w:num>
  <w:num w:numId="33">
    <w:abstractNumId w:val="29"/>
  </w:num>
  <w:num w:numId="34">
    <w:abstractNumId w:val="26"/>
  </w:num>
  <w:num w:numId="35">
    <w:abstractNumId w:val="33"/>
  </w:num>
  <w:num w:numId="36">
    <w:abstractNumId w:val="19"/>
  </w:num>
  <w:num w:numId="37">
    <w:abstractNumId w:val="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177"/>
    <w:rsid w:val="0001149F"/>
    <w:rsid w:val="000127E9"/>
    <w:rsid w:val="00014DC2"/>
    <w:rsid w:val="00017EE4"/>
    <w:rsid w:val="000407AE"/>
    <w:rsid w:val="00041D36"/>
    <w:rsid w:val="00043207"/>
    <w:rsid w:val="00053A00"/>
    <w:rsid w:val="00054930"/>
    <w:rsid w:val="00061419"/>
    <w:rsid w:val="00083365"/>
    <w:rsid w:val="00092A7F"/>
    <w:rsid w:val="00094934"/>
    <w:rsid w:val="000A0845"/>
    <w:rsid w:val="000A1072"/>
    <w:rsid w:val="000A3FAB"/>
    <w:rsid w:val="000B5689"/>
    <w:rsid w:val="000C174E"/>
    <w:rsid w:val="000C1A18"/>
    <w:rsid w:val="000E5B24"/>
    <w:rsid w:val="00114CFB"/>
    <w:rsid w:val="00131E6E"/>
    <w:rsid w:val="00132554"/>
    <w:rsid w:val="001375AA"/>
    <w:rsid w:val="00150B4B"/>
    <w:rsid w:val="00153E00"/>
    <w:rsid w:val="00165410"/>
    <w:rsid w:val="00181910"/>
    <w:rsid w:val="0018344F"/>
    <w:rsid w:val="00190D27"/>
    <w:rsid w:val="001931B7"/>
    <w:rsid w:val="00193B38"/>
    <w:rsid w:val="001B0042"/>
    <w:rsid w:val="001B0EE1"/>
    <w:rsid w:val="001B3480"/>
    <w:rsid w:val="001C59B6"/>
    <w:rsid w:val="001C6F24"/>
    <w:rsid w:val="001D05C1"/>
    <w:rsid w:val="001E6E65"/>
    <w:rsid w:val="001F3B83"/>
    <w:rsid w:val="001F768B"/>
    <w:rsid w:val="002045C2"/>
    <w:rsid w:val="00212CFB"/>
    <w:rsid w:val="002179BF"/>
    <w:rsid w:val="00224FF8"/>
    <w:rsid w:val="00225F2F"/>
    <w:rsid w:val="00226370"/>
    <w:rsid w:val="00226A2E"/>
    <w:rsid w:val="002363D1"/>
    <w:rsid w:val="00237082"/>
    <w:rsid w:val="00250468"/>
    <w:rsid w:val="00262749"/>
    <w:rsid w:val="002711EF"/>
    <w:rsid w:val="00281621"/>
    <w:rsid w:val="002869E0"/>
    <w:rsid w:val="002A1E24"/>
    <w:rsid w:val="002A2171"/>
    <w:rsid w:val="002A3330"/>
    <w:rsid w:val="002A43EA"/>
    <w:rsid w:val="002A4CFC"/>
    <w:rsid w:val="002A6F6C"/>
    <w:rsid w:val="002A77AB"/>
    <w:rsid w:val="002B2560"/>
    <w:rsid w:val="002E014E"/>
    <w:rsid w:val="0030393B"/>
    <w:rsid w:val="00317C74"/>
    <w:rsid w:val="003261A3"/>
    <w:rsid w:val="0033184D"/>
    <w:rsid w:val="003423CD"/>
    <w:rsid w:val="00344F49"/>
    <w:rsid w:val="0039150E"/>
    <w:rsid w:val="00394346"/>
    <w:rsid w:val="003961F5"/>
    <w:rsid w:val="003A14CE"/>
    <w:rsid w:val="003A25BA"/>
    <w:rsid w:val="003C0F3E"/>
    <w:rsid w:val="003E42EB"/>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4775"/>
    <w:rsid w:val="004C5E9C"/>
    <w:rsid w:val="004C6AB9"/>
    <w:rsid w:val="004D14DA"/>
    <w:rsid w:val="004E0790"/>
    <w:rsid w:val="004E24AB"/>
    <w:rsid w:val="005116A2"/>
    <w:rsid w:val="005148C9"/>
    <w:rsid w:val="005553D5"/>
    <w:rsid w:val="00575823"/>
    <w:rsid w:val="00582B90"/>
    <w:rsid w:val="00585E1F"/>
    <w:rsid w:val="005A1F5E"/>
    <w:rsid w:val="005A44F7"/>
    <w:rsid w:val="005B3C52"/>
    <w:rsid w:val="005B79AD"/>
    <w:rsid w:val="005C5C06"/>
    <w:rsid w:val="005D5F46"/>
    <w:rsid w:val="005E1CE3"/>
    <w:rsid w:val="005E56E6"/>
    <w:rsid w:val="005E6B7E"/>
    <w:rsid w:val="005F4D39"/>
    <w:rsid w:val="00605DB7"/>
    <w:rsid w:val="006060DD"/>
    <w:rsid w:val="00606DBC"/>
    <w:rsid w:val="00616EE8"/>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D0D03"/>
    <w:rsid w:val="007E4DC5"/>
    <w:rsid w:val="007F69B1"/>
    <w:rsid w:val="008016F5"/>
    <w:rsid w:val="0081255D"/>
    <w:rsid w:val="00817ED8"/>
    <w:rsid w:val="00831451"/>
    <w:rsid w:val="00841201"/>
    <w:rsid w:val="00841622"/>
    <w:rsid w:val="00842457"/>
    <w:rsid w:val="00850A82"/>
    <w:rsid w:val="00851BEF"/>
    <w:rsid w:val="008562C8"/>
    <w:rsid w:val="008564B3"/>
    <w:rsid w:val="00857FA5"/>
    <w:rsid w:val="008604DC"/>
    <w:rsid w:val="00883368"/>
    <w:rsid w:val="00885F7A"/>
    <w:rsid w:val="008905BE"/>
    <w:rsid w:val="00896603"/>
    <w:rsid w:val="008A7AB8"/>
    <w:rsid w:val="008B5AE5"/>
    <w:rsid w:val="008B5B06"/>
    <w:rsid w:val="008E3C3B"/>
    <w:rsid w:val="008E60B9"/>
    <w:rsid w:val="0091280C"/>
    <w:rsid w:val="0092102B"/>
    <w:rsid w:val="0092693F"/>
    <w:rsid w:val="009300F3"/>
    <w:rsid w:val="00930149"/>
    <w:rsid w:val="009356BE"/>
    <w:rsid w:val="00946356"/>
    <w:rsid w:val="009548D8"/>
    <w:rsid w:val="0096780E"/>
    <w:rsid w:val="009851F1"/>
    <w:rsid w:val="00997F27"/>
    <w:rsid w:val="009A11C6"/>
    <w:rsid w:val="009A62D2"/>
    <w:rsid w:val="009C3487"/>
    <w:rsid w:val="009D43A2"/>
    <w:rsid w:val="009D6F33"/>
    <w:rsid w:val="009D7445"/>
    <w:rsid w:val="009D748D"/>
    <w:rsid w:val="009E208B"/>
    <w:rsid w:val="009E310B"/>
    <w:rsid w:val="009E784A"/>
    <w:rsid w:val="009F516E"/>
    <w:rsid w:val="00A13BB4"/>
    <w:rsid w:val="00A13E9D"/>
    <w:rsid w:val="00A144A4"/>
    <w:rsid w:val="00A43C5D"/>
    <w:rsid w:val="00A459CC"/>
    <w:rsid w:val="00A522AE"/>
    <w:rsid w:val="00A541E5"/>
    <w:rsid w:val="00A8609E"/>
    <w:rsid w:val="00A9058A"/>
    <w:rsid w:val="00A92CF5"/>
    <w:rsid w:val="00AB5CB5"/>
    <w:rsid w:val="00AC1A2E"/>
    <w:rsid w:val="00AD526A"/>
    <w:rsid w:val="00AE67BB"/>
    <w:rsid w:val="00AF1239"/>
    <w:rsid w:val="00B05E33"/>
    <w:rsid w:val="00B218D6"/>
    <w:rsid w:val="00B27B90"/>
    <w:rsid w:val="00B33C89"/>
    <w:rsid w:val="00B44900"/>
    <w:rsid w:val="00B64045"/>
    <w:rsid w:val="00B80490"/>
    <w:rsid w:val="00B84774"/>
    <w:rsid w:val="00B86C29"/>
    <w:rsid w:val="00B95D97"/>
    <w:rsid w:val="00B96621"/>
    <w:rsid w:val="00B96F97"/>
    <w:rsid w:val="00BA398E"/>
    <w:rsid w:val="00BA3C21"/>
    <w:rsid w:val="00BB257A"/>
    <w:rsid w:val="00BE5D4B"/>
    <w:rsid w:val="00BF137D"/>
    <w:rsid w:val="00C1255E"/>
    <w:rsid w:val="00C246FC"/>
    <w:rsid w:val="00C27A03"/>
    <w:rsid w:val="00C27A96"/>
    <w:rsid w:val="00C37156"/>
    <w:rsid w:val="00C43438"/>
    <w:rsid w:val="00C50C08"/>
    <w:rsid w:val="00C56587"/>
    <w:rsid w:val="00C66C9D"/>
    <w:rsid w:val="00C67CDF"/>
    <w:rsid w:val="00C741F9"/>
    <w:rsid w:val="00C752EF"/>
    <w:rsid w:val="00C81C9D"/>
    <w:rsid w:val="00C94C86"/>
    <w:rsid w:val="00CA431E"/>
    <w:rsid w:val="00CA456E"/>
    <w:rsid w:val="00CA6AB4"/>
    <w:rsid w:val="00CB0072"/>
    <w:rsid w:val="00CC011D"/>
    <w:rsid w:val="00CC49F3"/>
    <w:rsid w:val="00CC4AC8"/>
    <w:rsid w:val="00CC76B4"/>
    <w:rsid w:val="00CD5F57"/>
    <w:rsid w:val="00D0030C"/>
    <w:rsid w:val="00D14FDC"/>
    <w:rsid w:val="00D172FC"/>
    <w:rsid w:val="00D232D4"/>
    <w:rsid w:val="00D35822"/>
    <w:rsid w:val="00D7731F"/>
    <w:rsid w:val="00D92AAD"/>
    <w:rsid w:val="00DA478A"/>
    <w:rsid w:val="00DB1CB9"/>
    <w:rsid w:val="00DB4488"/>
    <w:rsid w:val="00DD27A8"/>
    <w:rsid w:val="00E00D6C"/>
    <w:rsid w:val="00E17683"/>
    <w:rsid w:val="00E202E9"/>
    <w:rsid w:val="00E24573"/>
    <w:rsid w:val="00E359D1"/>
    <w:rsid w:val="00E43843"/>
    <w:rsid w:val="00E554C8"/>
    <w:rsid w:val="00E612EA"/>
    <w:rsid w:val="00E6171E"/>
    <w:rsid w:val="00E727B5"/>
    <w:rsid w:val="00E75DF6"/>
    <w:rsid w:val="00E830CF"/>
    <w:rsid w:val="00E950EF"/>
    <w:rsid w:val="00E97A88"/>
    <w:rsid w:val="00EA1205"/>
    <w:rsid w:val="00EA6F6C"/>
    <w:rsid w:val="00EB72FF"/>
    <w:rsid w:val="00EC66AE"/>
    <w:rsid w:val="00ED2E6C"/>
    <w:rsid w:val="00ED5C5A"/>
    <w:rsid w:val="00EF567A"/>
    <w:rsid w:val="00EF7C14"/>
    <w:rsid w:val="00F02EFB"/>
    <w:rsid w:val="00F0576C"/>
    <w:rsid w:val="00F1338A"/>
    <w:rsid w:val="00F134A1"/>
    <w:rsid w:val="00F23166"/>
    <w:rsid w:val="00F3623C"/>
    <w:rsid w:val="00F41C83"/>
    <w:rsid w:val="00F6624D"/>
    <w:rsid w:val="00F75F86"/>
    <w:rsid w:val="00F816BC"/>
    <w:rsid w:val="00F8240F"/>
    <w:rsid w:val="00F9341E"/>
    <w:rsid w:val="00F9577F"/>
    <w:rsid w:val="00F9731B"/>
    <w:rsid w:val="00FA0436"/>
    <w:rsid w:val="00FB0985"/>
    <w:rsid w:val="00FC3F22"/>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7E317-3FD1-468C-8EB7-782DAD97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FC1F-2633-4D63-BE1F-67ADE3BA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3015</Words>
  <Characters>18092</Characters>
  <Application>Microsoft Office Word</Application>
  <DocSecurity>4</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A1705b</cp:lastModifiedBy>
  <cp:revision>2</cp:revision>
  <cp:lastPrinted>2016-03-03T10:10:00Z</cp:lastPrinted>
  <dcterms:created xsi:type="dcterms:W3CDTF">2017-03-22T16:08:00Z</dcterms:created>
  <dcterms:modified xsi:type="dcterms:W3CDTF">2017-03-22T16:08:00Z</dcterms:modified>
</cp:coreProperties>
</file>