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AF3CD7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24</w:t>
      </w:r>
      <w:r w:rsidR="006F7C88">
        <w:rPr>
          <w:rFonts w:ascii="Times New Roman" w:hAnsi="Times New Roman" w:cs="Times New Roman"/>
          <w:color w:val="000000"/>
        </w:rPr>
        <w:t>.05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F7C8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SPW.272.38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7C88" w:rsidRPr="006F7C88" w:rsidRDefault="00783D0B" w:rsidP="006F7C88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6F7C88">
        <w:rPr>
          <w:rFonts w:ascii="Times New Roman" w:hAnsi="Times New Roman" w:cs="Times New Roman"/>
          <w:color w:val="000000"/>
        </w:rPr>
        <w:t xml:space="preserve">dotyczy: przetargu nieograniczonego na </w:t>
      </w:r>
      <w:r w:rsidR="006F7C88" w:rsidRPr="006F7C88">
        <w:rPr>
          <w:rFonts w:ascii="Times New Roman" w:eastAsia="Times New Roman" w:hAnsi="Times New Roman" w:cs="Times New Roman"/>
          <w:color w:val="auto"/>
        </w:rPr>
        <w:t>rozbudowę drogi powiatowej Nr 4360W ul. Piłsudskiego i Radzymińskiej w Wołominie, gm. Wołomin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Default="00AF3CD7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Zgodnie z art. 38 ust. 1 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ustawy z dnia 29 stycznia 2004 roku Prawo zamówień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FE24B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FE24B5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FE24B5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FE24B5">
        <w:rPr>
          <w:rFonts w:ascii="Times New Roman" w:hAnsi="Times New Roman" w:cs="Times New Roman"/>
          <w:b/>
          <w:bCs/>
          <w:color w:val="000000"/>
        </w:rPr>
        <w:t>. zm.)</w:t>
      </w:r>
      <w:r>
        <w:rPr>
          <w:rFonts w:ascii="Times New Roman" w:hAnsi="Times New Roman" w:cs="Times New Roman"/>
          <w:b/>
          <w:bCs/>
          <w:color w:val="000000"/>
        </w:rPr>
        <w:t xml:space="preserve"> Zamawiający informuje, iż wpłynęły pytania. W związku z powyższym Zamawiający udziela poniższych odpowiedzi: </w:t>
      </w:r>
    </w:p>
    <w:p w:rsidR="00AF3CD7" w:rsidRPr="00FE24B5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Prosimy o informacje który z przedmiarów jest dla Zamawiającego wiążący – zamieszczony  </w:t>
      </w:r>
      <w:hyperlink r:id="rId9" w:history="1">
        <w:r w:rsidRPr="00AF3CD7">
          <w:rPr>
            <w:rFonts w:ascii="Times New Roman" w:hAnsi="Times New Roman" w:cs="Times New Roman"/>
          </w:rPr>
          <w:t>2. Przedmiar</w:t>
        </w:r>
      </w:hyperlink>
      <w:r w:rsidRPr="00AF3CD7">
        <w:rPr>
          <w:rFonts w:ascii="Times New Roman" w:hAnsi="Times New Roman" w:cs="Times New Roman"/>
        </w:rPr>
        <w:t xml:space="preserve"> czy   </w:t>
      </w:r>
      <w:hyperlink r:id="rId10" w:history="1">
        <w:r w:rsidRPr="00AF3CD7">
          <w:rPr>
            <w:rFonts w:ascii="Times New Roman" w:hAnsi="Times New Roman" w:cs="Times New Roman"/>
          </w:rPr>
          <w:t>3. Przedmiary - kosztorysy</w:t>
        </w:r>
      </w:hyperlink>
      <w:r w:rsidRPr="00AF3CD7">
        <w:rPr>
          <w:rFonts w:ascii="Times New Roman" w:hAnsi="Times New Roman" w:cs="Times New Roman"/>
        </w:rPr>
        <w:t>? Zaznaczamy iż przedmiary nie pokrywają się oraz uwzględniają inny zakres branży.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Przedmiarami wiążącymi są przedmiary branżowe zamieszone w pliku 2. Przedmiary.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 xml:space="preserve">Prosimy o określenie czego dotyczy dokument zamieszczony pod nazwą </w:t>
      </w:r>
      <w:hyperlink r:id="rId11" w:history="1">
        <w:r w:rsidRPr="00AF3CD7">
          <w:rPr>
            <w:rFonts w:ascii="Times New Roman" w:hAnsi="Times New Roman" w:cs="Times New Roman"/>
          </w:rPr>
          <w:t>2. Przedmiar</w:t>
        </w:r>
      </w:hyperlink>
      <w:r w:rsidRPr="00AF3CD7">
        <w:rPr>
          <w:rFonts w:ascii="Times New Roman" w:hAnsi="Times New Roman" w:cs="Times New Roman"/>
        </w:rPr>
        <w:t>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Dokument 2. Przedmiar określa zakres robót opisanych w przedmiocie zamówienia.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Prosimy o szczegółowe informację który przedmiar/kosztorys jest podstawą wyceny dla Zamawiającego oraz ma być załączony do oferty jako Kosztorys ofertowy.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Odpowiedź taka sama jak w pytaniu Nr 1.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 xml:space="preserve">Prosimy o potwierdzenie iż na ofertę składają się: 1/Formularz ofertowy 2/Oświadczenie dotyczące spełniania warunków udziału w postepowaniu 3/Oświadczenie dotyczące przesłanek wykluczenia z postępowania 4/kosztorysy ofertowe 5/Dowód wniesienia wadium 6/ ew. pełnomocnictwo. 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Zamawiający potwierdza, że wymienione w pytaniu elementy składają się na ofertę.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 xml:space="preserve">Prosimy o wskazanie która dokumentacja dotyczy przedmiaru zamieszczonego pod nazwą </w:t>
      </w:r>
      <w:hyperlink r:id="rId12" w:history="1">
        <w:r w:rsidRPr="00AF3CD7">
          <w:rPr>
            <w:rFonts w:ascii="Times New Roman" w:hAnsi="Times New Roman" w:cs="Times New Roman"/>
          </w:rPr>
          <w:t>2. Przedmiar</w:t>
        </w:r>
      </w:hyperlink>
      <w:r w:rsidRPr="00AF3CD7">
        <w:rPr>
          <w:rFonts w:ascii="Times New Roman" w:hAnsi="Times New Roman" w:cs="Times New Roman"/>
        </w:rPr>
        <w:t xml:space="preserve">., a która dokumentacji dotyczącej  przedmiaru zamieszczonego pod nazwą </w:t>
      </w:r>
      <w:hyperlink r:id="rId13" w:history="1">
        <w:r w:rsidRPr="00AF3CD7">
          <w:rPr>
            <w:rFonts w:ascii="Times New Roman" w:hAnsi="Times New Roman" w:cs="Times New Roman"/>
          </w:rPr>
          <w:t>3. Przedmiary - kosztorysy</w:t>
        </w:r>
      </w:hyperlink>
      <w:r w:rsidRPr="00AF3CD7">
        <w:rPr>
          <w:rFonts w:ascii="Times New Roman" w:hAnsi="Times New Roman" w:cs="Times New Roman"/>
        </w:rPr>
        <w:t>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 xml:space="preserve">Odpowiedź: Zamieszczona dokumentacja dotyczy wyłącznie pliku 2. Przedmiar 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Prosimy o udostępnianie zgłoszenia oraz decyzję o zezwoleniu na realizację na podstawie których  określono zakres przedmiotu zamówienia w pkt. III. SIWZ.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Zamawiający dołącza decyzję ZRID oraz pismo projektanta wyrażającego zgodę na zmianę w projekcie.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Prosimy o potwierdzenie iż kosztorys ofertowy należy wykonać metodą uproszczoną.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Tak.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Zwracamy się z prośbą o podanie, która z wersji przedmiaru jest prawidłowa (chodzi o wersję dla robót drogowych - przedmiary robót różnią się).</w:t>
      </w:r>
    </w:p>
    <w:p w:rsid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Odpowiedź taka sama jak w pytaniu Nr 1.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 xml:space="preserve">Z racji bardzo dużej ilości rodzajów „kocich oczek” oraz podświetlanych znaków D-6, zwracamy się z prośbą o udostępnienie specyfikacji dla dodatkowo punktowanych: Zestaw I tzw. ..kocich oczek" przy przejściach dla pieszych, min. 12 szt. / 1 przejście dla pieszych. Oraz Zestaw II podświetlane znaki D - 6. 2szt. /1 przejście dla pieszych 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Zamawiający informuje, że w przypadku: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Zestawu I powinny zostać zastosowane „kocie oczka” typu LT_702 lub równoważne:</w:t>
      </w:r>
    </w:p>
    <w:p w:rsidR="00AF3CD7" w:rsidRPr="00AF3CD7" w:rsidRDefault="00AF3CD7" w:rsidP="00AF3C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lastRenderedPageBreak/>
        <w:t>wykonane z materiałów: stop aluminium, nacisk powyżej 25T; panel słoneczny: monokrystaliczny 3V/0,3W</w:t>
      </w:r>
    </w:p>
    <w:p w:rsidR="00AF3CD7" w:rsidRPr="00AF3CD7" w:rsidRDefault="00AF3CD7" w:rsidP="00AF3C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 xml:space="preserve">Zasilanie: bateria Li-on 1,2V/1200 </w:t>
      </w:r>
      <w:proofErr w:type="spellStart"/>
      <w:r w:rsidRPr="00AF3CD7">
        <w:rPr>
          <w:rFonts w:ascii="Times New Roman" w:hAnsi="Times New Roman" w:cs="Times New Roman"/>
          <w:b/>
        </w:rPr>
        <w:t>mA</w:t>
      </w:r>
      <w:proofErr w:type="spellEnd"/>
    </w:p>
    <w:p w:rsidR="00AF3CD7" w:rsidRPr="00AF3CD7" w:rsidRDefault="00AF3CD7" w:rsidP="00AF3C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F3CD7">
        <w:rPr>
          <w:rFonts w:ascii="Times New Roman" w:hAnsi="Times New Roman" w:cs="Times New Roman"/>
          <w:b/>
          <w:lang w:val="en-US"/>
        </w:rPr>
        <w:t xml:space="preserve">LED: fi 8 high – luminance LED, 2 </w:t>
      </w:r>
      <w:proofErr w:type="spellStart"/>
      <w:r w:rsidRPr="00AF3CD7">
        <w:rPr>
          <w:rFonts w:ascii="Times New Roman" w:hAnsi="Times New Roman" w:cs="Times New Roman"/>
          <w:b/>
          <w:lang w:val="en-US"/>
        </w:rPr>
        <w:t>sz</w:t>
      </w:r>
      <w:proofErr w:type="spellEnd"/>
      <w:r w:rsidRPr="00AF3CD7">
        <w:rPr>
          <w:rFonts w:ascii="Times New Roman" w:hAnsi="Times New Roman" w:cs="Times New Roman"/>
          <w:b/>
          <w:lang w:val="en-US"/>
        </w:rPr>
        <w:t>./</w:t>
      </w:r>
      <w:proofErr w:type="spellStart"/>
      <w:r w:rsidRPr="00AF3CD7">
        <w:rPr>
          <w:rFonts w:ascii="Times New Roman" w:hAnsi="Times New Roman" w:cs="Times New Roman"/>
          <w:b/>
          <w:lang w:val="en-US"/>
        </w:rPr>
        <w:t>strona</w:t>
      </w:r>
      <w:proofErr w:type="spellEnd"/>
    </w:p>
    <w:p w:rsidR="00AF3CD7" w:rsidRPr="00AF3CD7" w:rsidRDefault="00AF3CD7" w:rsidP="00AF3CD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Czas pracy: min.  180 godzin. (błysk), 100 godz. (stałe)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Zestaw II Aktywny Podświetlany LED dwustronny znak D-6 z systemem zasilania solarnego, 2 pulsatorami LED, czujnikami ruchu oraz podświetleniem przejścia dla pieszych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Znak ten włącza się o zmierzchu i działa do świtu. Zastosowanie baterii słonecznych powoduje, iż jest on niezależny od sieci energetycznej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 Zasada działania: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Pulsator mruga 24h/h lekkim światłem, gdy pojawi się pieszy mruga pełną jasnością; plafon świeci nocą lekkim światłem, gdy pojawi się pieszy rozświetla się do pełnej jasności.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Podświetlenie przejścia świeci lekkim światłem, gdy pojawi się pieszy rozświetla się do pełnej jasności.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Proszę o określenie w jaki sposób mają być podświetlane znaki D-6, wymienione w specyfikacji jako IV kryterium oceny” poprawa jakości.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Aktywny Podświetlany LED dwustronny znak D-6 z systemem zasilania solarnego, 2 pulsatorami LED, czujnikami ruchu oraz podświetleniem przejścia dla pieszych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Znak ten włącza się o zmierzchu i działa do świtu. Zastosowanie baterii słonecznych powoduje, iż jest on niezależny od sieci energetycznej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Zasada działania: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Pulsator mruga 24h/h lekkim światłem, gdy pojawi się pieszy mruga pełną jasnością; plafon świeci nocą lekkim światłem, gdy pojawi się pieszy rozświetla się do pełnej jasności.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Podświetlenie przejścia świeci lekkim światłem, gdy pojawi się pieszy rozświetla się do pełnej jasności.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Prosimy o określenie jakiego rodzaju staż zawodowy może być wliczany w kryteria kwalifikacji? Czy jest to osoba zatrudniona w dowolnej formie staż zawodowy na czas trwania budowy?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3CD7">
        <w:rPr>
          <w:rFonts w:ascii="Times New Roman" w:hAnsi="Times New Roman" w:cs="Times New Roman"/>
          <w:b/>
        </w:rPr>
        <w:t>Odpowiedź:  Przez staż zawodowy rozumie się osobę zatrudnioną na okres trwania budowy wykonywującą roboty budowlane związane z realizacją zadania, bez względu na formę zatrudnienia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>Wg. STT : Wykonawca zobowiązany jest wykonać tablice informacyjne i pamiątkowe zgodnie z wytycznymi zawartymi w dokumencie " Wytyczne Instytucji Zarządzającej Regionalnym Programem Operacyjnym Województwa Podlaskiego na lata 2007-2013 dla beneficjentów w zakresie informacji i promocji". Prosimy o udostępnieni wzoru, wymiarów oraz specyfikacji dla tych tablic.</w:t>
      </w: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  <w:b/>
        </w:rPr>
        <w:t>Odpowiedź: Zamawiający informuje, że z uwagi na to że nie uzyskano dofinansowania zewnętrznego dla przedmiotowego zadania odstępuje się od potrzeby wykonania przez Wykonawcę robót tablic informacyjnych i pamiątkowych.</w:t>
      </w:r>
    </w:p>
    <w:p w:rsidR="00AF3CD7" w:rsidRPr="00AF3CD7" w:rsidRDefault="00AF3CD7" w:rsidP="00AF3C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>Zamawiający modyfikuje</w:t>
      </w:r>
      <w:r w:rsidRPr="00AF3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zapisy</w:t>
      </w:r>
      <w:r w:rsidRPr="00AF3CD7">
        <w:rPr>
          <w:rFonts w:ascii="Times New Roman" w:hAnsi="Times New Roman" w:cs="Times New Roman"/>
        </w:rPr>
        <w:t xml:space="preserve"> w SIWZ III Przedmiot zamówienia:</w:t>
      </w:r>
    </w:p>
    <w:p w:rsidR="00AF3CD7" w:rsidRPr="00AF3CD7" w:rsidRDefault="00AF3CD7" w:rsidP="00AF3C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F3CD7" w:rsidRPr="00AF3CD7" w:rsidRDefault="00AF3CD7" w:rsidP="00AF3CD7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AF3CD7">
        <w:rPr>
          <w:rFonts w:ascii="Times New Roman" w:hAnsi="Times New Roman"/>
          <w:sz w:val="22"/>
          <w:szCs w:val="22"/>
        </w:rPr>
        <w:t xml:space="preserve">Przedmiotem zamówienia jest rozbudowa drogi powiatowej Nr 4360W ul. Piłsudskiego i Radzymińskiej w Wołominie, gm. Wołomin, na odcinku od skrzyżowania z ul. Lwowska do ronda w m. Czarna. </w:t>
      </w:r>
    </w:p>
    <w:p w:rsidR="00AF3CD7" w:rsidRPr="00AF3CD7" w:rsidRDefault="00AF3CD7" w:rsidP="00AF3CD7">
      <w:pPr>
        <w:pStyle w:val="Tekstpodstawowy"/>
        <w:rPr>
          <w:rFonts w:ascii="Times New Roman" w:hAnsi="Times New Roman"/>
          <w:sz w:val="22"/>
          <w:szCs w:val="22"/>
        </w:rPr>
      </w:pPr>
      <w:r w:rsidRPr="00AF3CD7">
        <w:rPr>
          <w:rFonts w:ascii="Times New Roman" w:hAnsi="Times New Roman"/>
          <w:sz w:val="22"/>
          <w:szCs w:val="22"/>
        </w:rPr>
        <w:t>Zakres przedmiotu zamówienia obejmuje: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 xml:space="preserve">Wykonanie robót ziemnych pod konstrukcję na skrzyżowaniach wlotów z ulicami gminnymi, 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 xml:space="preserve">Wykonanie frezowania nawierzchni 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konstrukcji nawierzchni na skrzyżowaniach z drogami gminnymi:</w:t>
      </w:r>
    </w:p>
    <w:p w:rsidR="00AF3CD7" w:rsidRPr="00AF3CD7" w:rsidRDefault="00AF3CD7" w:rsidP="00AF3CD7">
      <w:pPr>
        <w:pStyle w:val="Standard"/>
        <w:numPr>
          <w:ilvl w:val="0"/>
          <w:numId w:val="23"/>
        </w:numPr>
        <w:autoSpaceDE w:val="0"/>
        <w:autoSpaceDN w:val="0"/>
        <w:adjustRightInd w:val="0"/>
        <w:ind w:left="721" w:hanging="437"/>
        <w:contextualSpacing/>
        <w:jc w:val="both"/>
        <w:rPr>
          <w:color w:val="000000"/>
          <w:sz w:val="22"/>
          <w:szCs w:val="22"/>
        </w:rPr>
      </w:pPr>
      <w:r w:rsidRPr="00AF3CD7">
        <w:rPr>
          <w:color w:val="000000"/>
          <w:sz w:val="22"/>
          <w:szCs w:val="22"/>
        </w:rPr>
        <w:t>Warstwa ścieralna z 11S 45/80 – 55 o grubości 4 cm,</w:t>
      </w:r>
    </w:p>
    <w:p w:rsidR="00AF3CD7" w:rsidRPr="00AF3CD7" w:rsidRDefault="00AF3CD7" w:rsidP="00AF3CD7">
      <w:pPr>
        <w:pStyle w:val="Standard"/>
        <w:numPr>
          <w:ilvl w:val="0"/>
          <w:numId w:val="23"/>
        </w:numPr>
        <w:autoSpaceDE w:val="0"/>
        <w:autoSpaceDN w:val="0"/>
        <w:adjustRightInd w:val="0"/>
        <w:ind w:left="721" w:hanging="437"/>
        <w:contextualSpacing/>
        <w:jc w:val="both"/>
        <w:rPr>
          <w:color w:val="000000"/>
          <w:sz w:val="22"/>
          <w:szCs w:val="22"/>
        </w:rPr>
      </w:pPr>
      <w:r w:rsidRPr="00AF3CD7">
        <w:rPr>
          <w:color w:val="000000"/>
          <w:sz w:val="22"/>
          <w:szCs w:val="22"/>
        </w:rPr>
        <w:t>Warstwa wiążąca z AC 16W 50/70 o grubości 5 cm,</w:t>
      </w:r>
    </w:p>
    <w:p w:rsidR="00AF3CD7" w:rsidRPr="00AF3CD7" w:rsidRDefault="00AF3CD7" w:rsidP="00AF3CD7">
      <w:pPr>
        <w:pStyle w:val="Standard"/>
        <w:numPr>
          <w:ilvl w:val="0"/>
          <w:numId w:val="23"/>
        </w:numPr>
        <w:autoSpaceDE w:val="0"/>
        <w:autoSpaceDN w:val="0"/>
        <w:adjustRightInd w:val="0"/>
        <w:ind w:left="721" w:hanging="437"/>
        <w:contextualSpacing/>
        <w:jc w:val="both"/>
        <w:rPr>
          <w:color w:val="000000"/>
          <w:sz w:val="22"/>
          <w:szCs w:val="22"/>
        </w:rPr>
      </w:pPr>
      <w:r w:rsidRPr="00AF3CD7">
        <w:rPr>
          <w:color w:val="000000"/>
          <w:sz w:val="22"/>
          <w:szCs w:val="22"/>
        </w:rPr>
        <w:t>Podbudowa zasadnicza z AC 22P 50/70 o grubości 7 cm,</w:t>
      </w:r>
    </w:p>
    <w:p w:rsidR="00AF3CD7" w:rsidRPr="00AF3CD7" w:rsidRDefault="00AF3CD7" w:rsidP="00AF3CD7">
      <w:pPr>
        <w:pStyle w:val="Standard"/>
        <w:numPr>
          <w:ilvl w:val="0"/>
          <w:numId w:val="23"/>
        </w:numPr>
        <w:autoSpaceDE w:val="0"/>
        <w:autoSpaceDN w:val="0"/>
        <w:adjustRightInd w:val="0"/>
        <w:ind w:left="721" w:hanging="437"/>
        <w:contextualSpacing/>
        <w:jc w:val="both"/>
        <w:rPr>
          <w:color w:val="000000"/>
          <w:sz w:val="22"/>
          <w:szCs w:val="22"/>
        </w:rPr>
      </w:pPr>
      <w:r w:rsidRPr="00AF3CD7">
        <w:rPr>
          <w:color w:val="000000"/>
          <w:sz w:val="22"/>
          <w:szCs w:val="22"/>
        </w:rPr>
        <w:t>Podbudowa zasadnicza z kruszywa łamanego 0/31,5 stabilizowana mechanicznie o grubości 20 cm</w:t>
      </w:r>
    </w:p>
    <w:p w:rsidR="00AF3CD7" w:rsidRPr="00AF3CD7" w:rsidRDefault="00AF3CD7" w:rsidP="00AF3CD7">
      <w:pPr>
        <w:pStyle w:val="Standard"/>
        <w:numPr>
          <w:ilvl w:val="0"/>
          <w:numId w:val="23"/>
        </w:numPr>
        <w:autoSpaceDE w:val="0"/>
        <w:autoSpaceDN w:val="0"/>
        <w:adjustRightInd w:val="0"/>
        <w:ind w:left="721" w:hanging="437"/>
        <w:contextualSpacing/>
        <w:jc w:val="both"/>
        <w:rPr>
          <w:color w:val="000000"/>
          <w:sz w:val="22"/>
          <w:szCs w:val="22"/>
        </w:rPr>
      </w:pPr>
      <w:r w:rsidRPr="00AF3CD7">
        <w:rPr>
          <w:color w:val="000000"/>
          <w:sz w:val="22"/>
          <w:szCs w:val="22"/>
        </w:rPr>
        <w:t xml:space="preserve">Podłoże ulepszone spełniające rolę warstwy </w:t>
      </w:r>
      <w:proofErr w:type="spellStart"/>
      <w:r w:rsidRPr="00AF3CD7">
        <w:rPr>
          <w:color w:val="000000"/>
          <w:sz w:val="22"/>
          <w:szCs w:val="22"/>
        </w:rPr>
        <w:t>mrozochronnej</w:t>
      </w:r>
      <w:proofErr w:type="spellEnd"/>
      <w:r w:rsidRPr="00AF3CD7">
        <w:rPr>
          <w:color w:val="000000"/>
          <w:sz w:val="22"/>
          <w:szCs w:val="22"/>
        </w:rPr>
        <w:t xml:space="preserve"> o grubości 15 cm.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 xml:space="preserve"> Wykonanie warstwy wyrównawczej z AC 16W 50/70 o średniej grubości do 6 cm, 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 xml:space="preserve">Wykonanie </w:t>
      </w:r>
      <w:proofErr w:type="spellStart"/>
      <w:r w:rsidRPr="00AF3CD7">
        <w:rPr>
          <w:rFonts w:ascii="Times New Roman" w:hAnsi="Times New Roman"/>
        </w:rPr>
        <w:t>geosiatki</w:t>
      </w:r>
      <w:proofErr w:type="spellEnd"/>
      <w:r w:rsidRPr="00AF3CD7">
        <w:rPr>
          <w:rFonts w:ascii="Times New Roman" w:hAnsi="Times New Roman"/>
        </w:rPr>
        <w:t xml:space="preserve"> na całej długości drogi pomiędzy warstwą wiążącą a ścieralną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lastRenderedPageBreak/>
        <w:t>Wykonanie warstwy ścieralnej z AC 11S 45/80 – 55 o gr. 5 cm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Regulacja wysokościowa studni sieci wodociągowej, kanalizacji sanitarnej i deszczowej oraz wpustów deszczowych i wszelkich zasuw gazowych wodociągowych i hydrantów umieszczonych w drodze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 xml:space="preserve">Rozbiórka krawężników wraz z ich wymianą oraz wykonaniem ścieków ulicznych </w:t>
      </w:r>
      <w:proofErr w:type="spellStart"/>
      <w:r w:rsidRPr="00AF3CD7">
        <w:rPr>
          <w:rFonts w:ascii="Times New Roman" w:hAnsi="Times New Roman"/>
        </w:rPr>
        <w:t>przykrawężnikowych</w:t>
      </w:r>
      <w:proofErr w:type="spellEnd"/>
      <w:r w:rsidRPr="00AF3CD7">
        <w:rPr>
          <w:rFonts w:ascii="Times New Roman" w:hAnsi="Times New Roman"/>
        </w:rPr>
        <w:t>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rozbiórki i ponowne wbudowanie z regulacją wysokościową wysokościowa chodnika i zjazdów indywidualnych i części chodników,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 xml:space="preserve">Wykonanie azylu przy przejściu dla pieszych i wysp dzielących 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elementów stałej organizacji ruchu wraz z jej wprowadzeniem,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oczyszczenia i profilowania rowu przydrożnego,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zieleni i usunięcie kolidujących drzew,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Przebudowa kolizji sieci, sieci energetycznych SN i NN w tym słupy oświetleniowe, sieci teletechnicznej,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Rozbiórka istniejących ogrodzeń wraz z ich przesunięciem i odtworzeniem w tej samej technologii,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projektu czasowej organizacji robót na czas prowadzonych robót, wraz z jej zatwierdzeniem i wprowadzeniem,</w:t>
      </w:r>
    </w:p>
    <w:p w:rsidR="00AF3CD7" w:rsidRPr="00AF3CD7" w:rsidRDefault="00AF3CD7" w:rsidP="00AF3CD7">
      <w:pPr>
        <w:pStyle w:val="Akapitzlist"/>
        <w:numPr>
          <w:ilvl w:val="0"/>
          <w:numId w:val="21"/>
        </w:numPr>
        <w:suppressAutoHyphens/>
        <w:ind w:left="709" w:hanging="709"/>
        <w:contextualSpacing/>
        <w:jc w:val="both"/>
        <w:rPr>
          <w:rFonts w:ascii="Times New Roman" w:hAnsi="Times New Roman"/>
        </w:rPr>
      </w:pPr>
      <w:r w:rsidRPr="00AF3CD7">
        <w:rPr>
          <w:rFonts w:ascii="Times New Roman" w:hAnsi="Times New Roman"/>
        </w:rPr>
        <w:t>Wykonanie inwentaryzacji geodezyjnej.</w:t>
      </w:r>
    </w:p>
    <w:p w:rsidR="00AF3CD7" w:rsidRPr="00AF3CD7" w:rsidRDefault="00AF3CD7" w:rsidP="00AF3CD7">
      <w:pPr>
        <w:pStyle w:val="Akapitzlist"/>
        <w:suppressAutoHyphens/>
        <w:ind w:left="0"/>
        <w:contextualSpacing/>
        <w:jc w:val="both"/>
        <w:rPr>
          <w:rFonts w:ascii="Times New Roman" w:hAnsi="Times New Roman"/>
        </w:rPr>
      </w:pPr>
    </w:p>
    <w:p w:rsidR="00AF3CD7" w:rsidRPr="00AF3CD7" w:rsidRDefault="00AF3CD7" w:rsidP="00AF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CD7">
        <w:rPr>
          <w:rFonts w:ascii="Times New Roman" w:hAnsi="Times New Roman" w:cs="Times New Roman"/>
        </w:rPr>
        <w:t xml:space="preserve">Pozostała część zapisów pozostaje bez zmian. Równocześnie </w:t>
      </w:r>
      <w:r>
        <w:rPr>
          <w:rFonts w:ascii="Times New Roman" w:hAnsi="Times New Roman" w:cs="Times New Roman"/>
        </w:rPr>
        <w:t>dokonuje się</w:t>
      </w:r>
      <w:r w:rsidRPr="00AF3CD7">
        <w:rPr>
          <w:rFonts w:ascii="Times New Roman" w:hAnsi="Times New Roman" w:cs="Times New Roman"/>
        </w:rPr>
        <w:t xml:space="preserve"> zmiany w § 2 ust. 2 Istotnych postanowień umowy tak jak w SIWZ.</w:t>
      </w:r>
    </w:p>
    <w:p w:rsidR="006F0090" w:rsidRDefault="006F0090" w:rsidP="006057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CD7" w:rsidRPr="00AF3CD7" w:rsidRDefault="00AF3CD7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F3CD7">
        <w:rPr>
          <w:rFonts w:ascii="Times New Roman" w:hAnsi="Times New Roman" w:cs="Times New Roman"/>
          <w:b/>
        </w:rPr>
        <w:t>W związku z powyższym przedłużeniu ulega termin składania ofert do dnia 29.05.2017 r. do godz. 11:00. Otwarcie ofert: 29.05.2017 r. godz. 11:30.</w:t>
      </w:r>
    </w:p>
    <w:p w:rsidR="006F0090" w:rsidRPr="00AF3CD7" w:rsidRDefault="006F0090" w:rsidP="006F0090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2"/>
          <w:szCs w:val="22"/>
        </w:rPr>
      </w:pPr>
    </w:p>
    <w:p w:rsidR="006F0090" w:rsidRPr="00AF3CD7" w:rsidRDefault="006F0090" w:rsidP="006F0090">
      <w:pPr>
        <w:pStyle w:val="Tekstpodstawowy"/>
        <w:tabs>
          <w:tab w:val="left" w:pos="708"/>
        </w:tabs>
        <w:rPr>
          <w:rFonts w:ascii="Times New Roman" w:hAnsi="Times New Roman"/>
          <w:color w:val="0070C0"/>
          <w:sz w:val="22"/>
          <w:szCs w:val="22"/>
        </w:rPr>
      </w:pPr>
      <w:r w:rsidRPr="00AF3CD7">
        <w:rPr>
          <w:rFonts w:ascii="Times New Roman" w:hAnsi="Times New Roman"/>
          <w:color w:val="0070C0"/>
          <w:sz w:val="22"/>
          <w:szCs w:val="22"/>
        </w:rPr>
        <w:sym w:font="Wingdings" w:char="F022"/>
      </w:r>
      <w:r w:rsidRPr="00AF3CD7">
        <w:rPr>
          <w:rFonts w:ascii="Times New Roman" w:hAnsi="Times New Roman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0090" w:rsidRPr="00AF3CD7" w:rsidTr="002445A1">
        <w:tc>
          <w:tcPr>
            <w:tcW w:w="4606" w:type="dxa"/>
            <w:shd w:val="clear" w:color="auto" w:fill="auto"/>
          </w:tcPr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i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b w:val="0"/>
                <w:i/>
                <w:color w:val="0070C0"/>
                <w:sz w:val="22"/>
                <w:szCs w:val="22"/>
              </w:rPr>
              <w:t>Wykonawca: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i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b w:val="0"/>
                <w:i/>
                <w:color w:val="0070C0"/>
                <w:sz w:val="22"/>
                <w:szCs w:val="22"/>
              </w:rPr>
              <w:t>Zamawiający: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Powiat Wołomiński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ul. Prądzyńskiego 3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05-200 Wołomin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Pokój nr 4 (kancelaria)</w:t>
            </w:r>
          </w:p>
        </w:tc>
      </w:tr>
      <w:tr w:rsidR="006F0090" w:rsidRPr="00AF3CD7" w:rsidTr="002445A1">
        <w:tc>
          <w:tcPr>
            <w:tcW w:w="9212" w:type="dxa"/>
            <w:gridSpan w:val="2"/>
            <w:shd w:val="clear" w:color="auto" w:fill="auto"/>
          </w:tcPr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OFERTA NA:</w:t>
            </w:r>
          </w:p>
          <w:p w:rsidR="006F0090" w:rsidRPr="00AF3CD7" w:rsidRDefault="006F0090" w:rsidP="006F7C88">
            <w:pPr>
              <w:pStyle w:val="Tekstpodstawowy"/>
              <w:tabs>
                <w:tab w:val="left" w:pos="708"/>
              </w:tabs>
              <w:jc w:val="both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bCs/>
                <w:i/>
                <w:color w:val="0070C0"/>
                <w:sz w:val="22"/>
                <w:szCs w:val="22"/>
              </w:rPr>
              <w:t>„</w:t>
            </w:r>
            <w:r w:rsidR="006F7C88"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Rozbudowę drogi powiatowej Nr 4360W ul. Piłsudskiego i Radzymińskiej w Wołominie, gm. Wołomin</w:t>
            </w: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”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Nr sprawy: SPW.272.</w:t>
            </w:r>
            <w:r w:rsidR="006F7C88" w:rsidRPr="00AF3CD7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38</w:t>
            </w:r>
            <w:r w:rsidRPr="00AF3CD7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.2017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Nie otwierać przed dniem </w:t>
            </w:r>
            <w:r w:rsidR="00AF3CD7">
              <w:rPr>
                <w:rFonts w:ascii="Times New Roman" w:hAnsi="Times New Roman"/>
                <w:color w:val="0070C0"/>
                <w:sz w:val="22"/>
                <w:szCs w:val="22"/>
              </w:rPr>
              <w:t>29</w:t>
            </w:r>
            <w:r w:rsidR="006F7C88"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.05</w:t>
            </w: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.2017 r. godz. </w:t>
            </w:r>
            <w:r w:rsidR="006F7C88"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1</w:t>
            </w:r>
            <w:r w:rsidR="00AF3CD7">
              <w:rPr>
                <w:rFonts w:ascii="Times New Roman" w:hAnsi="Times New Roman"/>
                <w:color w:val="0070C0"/>
                <w:sz w:val="22"/>
                <w:szCs w:val="22"/>
              </w:rPr>
              <w:t>1</w:t>
            </w:r>
            <w:r w:rsidRPr="00AF3CD7">
              <w:rPr>
                <w:rFonts w:ascii="Times New Roman" w:hAnsi="Times New Roman"/>
                <w:color w:val="0070C0"/>
                <w:sz w:val="22"/>
                <w:szCs w:val="22"/>
              </w:rPr>
              <w:t>:30</w:t>
            </w:r>
          </w:p>
          <w:p w:rsidR="006F0090" w:rsidRPr="00AF3CD7" w:rsidRDefault="006F0090" w:rsidP="002445A1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</w:p>
        </w:tc>
      </w:tr>
    </w:tbl>
    <w:p w:rsidR="006F0090" w:rsidRPr="00AF3CD7" w:rsidRDefault="006F0090" w:rsidP="006F0090">
      <w:pPr>
        <w:pStyle w:val="Tekstpodstawowy"/>
        <w:tabs>
          <w:tab w:val="left" w:pos="708"/>
        </w:tabs>
        <w:rPr>
          <w:rFonts w:ascii="Times New Roman" w:hAnsi="Times New Roman"/>
          <w:color w:val="0070C0"/>
          <w:sz w:val="22"/>
          <w:szCs w:val="22"/>
        </w:rPr>
      </w:pPr>
      <w:r w:rsidRPr="00AF3CD7">
        <w:rPr>
          <w:rFonts w:ascii="Times New Roman" w:hAnsi="Times New Roman"/>
          <w:color w:val="0070C0"/>
          <w:sz w:val="22"/>
          <w:szCs w:val="22"/>
        </w:rPr>
        <w:sym w:font="Wingdings" w:char="F022"/>
      </w:r>
      <w:r w:rsidRPr="00AF3CD7">
        <w:rPr>
          <w:rFonts w:ascii="Times New Roman" w:hAnsi="Times New Roman"/>
          <w:color w:val="0070C0"/>
          <w:sz w:val="22"/>
          <w:szCs w:val="22"/>
        </w:rPr>
        <w:t>…………………………………………………………………………………………………………</w:t>
      </w:r>
    </w:p>
    <w:p w:rsidR="006F0090" w:rsidRPr="00AF3CD7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1601" w:rsidRPr="00AF3CD7" w:rsidRDefault="00E01601" w:rsidP="00E01601">
      <w:pPr>
        <w:rPr>
          <w:rFonts w:ascii="Times New Roman" w:hAnsi="Times New Roman" w:cs="Times New Roman"/>
        </w:rPr>
      </w:pPr>
    </w:p>
    <w:p w:rsidR="00E01601" w:rsidRPr="00AF3CD7" w:rsidRDefault="00E01601" w:rsidP="00BF2E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01601" w:rsidRPr="00AF3CD7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65" w:rsidRDefault="001D4765" w:rsidP="00D547D3">
      <w:pPr>
        <w:spacing w:after="0" w:line="240" w:lineRule="auto"/>
      </w:pPr>
      <w:r>
        <w:separator/>
      </w:r>
    </w:p>
  </w:endnote>
  <w:endnote w:type="continuationSeparator" w:id="0">
    <w:p w:rsidR="001D4765" w:rsidRDefault="001D4765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65" w:rsidRDefault="001D4765" w:rsidP="00D547D3">
      <w:pPr>
        <w:spacing w:after="0" w:line="240" w:lineRule="auto"/>
      </w:pPr>
      <w:r>
        <w:separator/>
      </w:r>
    </w:p>
  </w:footnote>
  <w:footnote w:type="continuationSeparator" w:id="0">
    <w:p w:rsidR="001D4765" w:rsidRDefault="001D4765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142AEC"/>
    <w:multiLevelType w:val="hybridMultilevel"/>
    <w:tmpl w:val="375061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175AD"/>
    <w:multiLevelType w:val="hybridMultilevel"/>
    <w:tmpl w:val="37C0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033B0"/>
    <w:multiLevelType w:val="hybridMultilevel"/>
    <w:tmpl w:val="BD6430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4A7971"/>
    <w:multiLevelType w:val="hybridMultilevel"/>
    <w:tmpl w:val="81A07C6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21"/>
  </w:num>
  <w:num w:numId="13">
    <w:abstractNumId w:val="12"/>
  </w:num>
  <w:num w:numId="14">
    <w:abstractNumId w:val="17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1D476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0090"/>
    <w:rsid w:val="006F1A37"/>
    <w:rsid w:val="006F3031"/>
    <w:rsid w:val="006F7C88"/>
    <w:rsid w:val="00721863"/>
    <w:rsid w:val="00726871"/>
    <w:rsid w:val="0074511D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2503"/>
    <w:rsid w:val="00A563AB"/>
    <w:rsid w:val="00A5716D"/>
    <w:rsid w:val="00A77394"/>
    <w:rsid w:val="00AA6F8C"/>
    <w:rsid w:val="00AE314B"/>
    <w:rsid w:val="00AF3CD7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01968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F3C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F3C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powiat-wolominski.pl/pliki/bzp/2017/pilsudskiego/1.%20Przedmiar%20+%20KOfer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powiat-wolominski.pl/pliki/bzp/2017/pilsudskiego/Przedmiar_dr_tp_elektr.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powiat-wolominski.pl/pliki/bzp/2017/pilsudskiego/Przedmiar_dr_tp_elektr.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owiat-wolominski.pl/pliki/bzp/2017/pilsudskiego/1.%20Przedmiar%20+%20KOfe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wiat-wolominski.pl/pliki/bzp/2017/pilsudskiego/Przedmiar_dr_tp_elektr.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987F-0727-44AB-AFFC-D10E5D33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2017-05-19T09:56:00Z</cp:lastPrinted>
  <dcterms:created xsi:type="dcterms:W3CDTF">2017-05-24T10:26:00Z</dcterms:created>
  <dcterms:modified xsi:type="dcterms:W3CDTF">2017-05-24T10:26:00Z</dcterms:modified>
</cp:coreProperties>
</file>